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49BE6E8" w14:textId="77777777" w:rsidR="002840A5" w:rsidRDefault="002840A5" w:rsidP="002840A5">
      <w:pPr>
        <w:pStyle w:val="Title"/>
      </w:pPr>
      <w:r>
        <w:t>NEGATIVE BRIEF: National Security Letters</w:t>
      </w:r>
    </w:p>
    <w:p w14:paraId="7F68D86F" w14:textId="77777777" w:rsidR="002840A5" w:rsidRDefault="002840A5">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Negative: National Security Letters</w:t>
      </w:r>
      <w:r>
        <w:rPr>
          <w:noProof/>
        </w:rPr>
        <w:tab/>
      </w:r>
      <w:r>
        <w:rPr>
          <w:noProof/>
        </w:rPr>
        <w:fldChar w:fldCharType="begin"/>
      </w:r>
      <w:r>
        <w:rPr>
          <w:noProof/>
        </w:rPr>
        <w:instrText xml:space="preserve"> PAGEREF _Toc279142302 \h </w:instrText>
      </w:r>
      <w:r>
        <w:rPr>
          <w:noProof/>
        </w:rPr>
      </w:r>
      <w:r>
        <w:rPr>
          <w:noProof/>
        </w:rPr>
        <w:fldChar w:fldCharType="separate"/>
      </w:r>
      <w:r>
        <w:rPr>
          <w:noProof/>
        </w:rPr>
        <w:t>2</w:t>
      </w:r>
      <w:r>
        <w:rPr>
          <w:noProof/>
        </w:rPr>
        <w:fldChar w:fldCharType="end"/>
      </w:r>
    </w:p>
    <w:p w14:paraId="744419ED" w14:textId="77777777" w:rsidR="002840A5" w:rsidRDefault="002840A5">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_Toc279142303 \h </w:instrText>
      </w:r>
      <w:r>
        <w:rPr>
          <w:noProof/>
        </w:rPr>
      </w:r>
      <w:r>
        <w:rPr>
          <w:noProof/>
        </w:rPr>
        <w:fldChar w:fldCharType="separate"/>
      </w:r>
      <w:r>
        <w:rPr>
          <w:noProof/>
        </w:rPr>
        <w:t>2</w:t>
      </w:r>
      <w:r>
        <w:rPr>
          <w:noProof/>
        </w:rPr>
        <w:fldChar w:fldCharType="end"/>
      </w:r>
    </w:p>
    <w:p w14:paraId="73A37FD2" w14:textId="77777777" w:rsidR="002840A5" w:rsidRDefault="002840A5">
      <w:pPr>
        <w:pStyle w:val="TOC3"/>
        <w:rPr>
          <w:rFonts w:asciiTheme="minorHAnsi" w:eastAsiaTheme="minorEastAsia" w:hAnsiTheme="minorHAnsi" w:cstheme="minorBidi"/>
          <w:noProof/>
          <w:sz w:val="24"/>
          <w:szCs w:val="24"/>
          <w:lang w:eastAsia="ja-JP"/>
        </w:rPr>
      </w:pPr>
      <w:r>
        <w:rPr>
          <w:noProof/>
        </w:rPr>
        <w:t>We have to balance both privacy and security.  Just saying “we uphold privacy” doesn’t justify an AFF ballot</w:t>
      </w:r>
      <w:r>
        <w:rPr>
          <w:noProof/>
        </w:rPr>
        <w:tab/>
      </w:r>
      <w:r>
        <w:rPr>
          <w:noProof/>
        </w:rPr>
        <w:fldChar w:fldCharType="begin"/>
      </w:r>
      <w:r>
        <w:rPr>
          <w:noProof/>
        </w:rPr>
        <w:instrText xml:space="preserve"> PAGEREF _Toc279142304 \h </w:instrText>
      </w:r>
      <w:r>
        <w:rPr>
          <w:noProof/>
        </w:rPr>
      </w:r>
      <w:r>
        <w:rPr>
          <w:noProof/>
        </w:rPr>
        <w:fldChar w:fldCharType="separate"/>
      </w:r>
      <w:r>
        <w:rPr>
          <w:noProof/>
        </w:rPr>
        <w:t>2</w:t>
      </w:r>
      <w:r>
        <w:rPr>
          <w:noProof/>
        </w:rPr>
        <w:fldChar w:fldCharType="end"/>
      </w:r>
    </w:p>
    <w:p w14:paraId="626B9CB0" w14:textId="77777777" w:rsidR="002840A5" w:rsidRDefault="002840A5">
      <w:pPr>
        <w:pStyle w:val="TOC3"/>
        <w:rPr>
          <w:rFonts w:asciiTheme="minorHAnsi" w:eastAsiaTheme="minorEastAsia" w:hAnsiTheme="minorHAnsi" w:cstheme="minorBidi"/>
          <w:noProof/>
          <w:sz w:val="24"/>
          <w:szCs w:val="24"/>
          <w:lang w:eastAsia="ja-JP"/>
        </w:rPr>
      </w:pPr>
      <w:r>
        <w:rPr>
          <w:noProof/>
        </w:rPr>
        <w:t>Status Quo meets the balance:  NSL is a constitutional tool that upholds security</w:t>
      </w:r>
      <w:r>
        <w:rPr>
          <w:noProof/>
        </w:rPr>
        <w:tab/>
      </w:r>
      <w:r>
        <w:rPr>
          <w:noProof/>
        </w:rPr>
        <w:fldChar w:fldCharType="begin"/>
      </w:r>
      <w:r>
        <w:rPr>
          <w:noProof/>
        </w:rPr>
        <w:instrText xml:space="preserve"> PAGEREF _Toc279142305 \h </w:instrText>
      </w:r>
      <w:r>
        <w:rPr>
          <w:noProof/>
        </w:rPr>
      </w:r>
      <w:r>
        <w:rPr>
          <w:noProof/>
        </w:rPr>
        <w:fldChar w:fldCharType="separate"/>
      </w:r>
      <w:r>
        <w:rPr>
          <w:noProof/>
        </w:rPr>
        <w:t>2</w:t>
      </w:r>
      <w:r>
        <w:rPr>
          <w:noProof/>
        </w:rPr>
        <w:fldChar w:fldCharType="end"/>
      </w:r>
    </w:p>
    <w:p w14:paraId="55670073" w14:textId="77777777" w:rsidR="002840A5" w:rsidRDefault="002840A5">
      <w:pPr>
        <w:pStyle w:val="TOC3"/>
        <w:rPr>
          <w:rFonts w:asciiTheme="minorHAnsi" w:eastAsiaTheme="minorEastAsia" w:hAnsiTheme="minorHAnsi" w:cstheme="minorBidi"/>
          <w:noProof/>
          <w:sz w:val="24"/>
          <w:szCs w:val="24"/>
          <w:lang w:eastAsia="ja-JP"/>
        </w:rPr>
      </w:pPr>
      <w:r>
        <w:rPr>
          <w:noProof/>
        </w:rPr>
        <w:t>Status Quo meets the balance: Standards for NSL are reasonable considering the national security implications</w:t>
      </w:r>
      <w:r>
        <w:rPr>
          <w:noProof/>
        </w:rPr>
        <w:tab/>
      </w:r>
      <w:r>
        <w:rPr>
          <w:noProof/>
        </w:rPr>
        <w:fldChar w:fldCharType="begin"/>
      </w:r>
      <w:r>
        <w:rPr>
          <w:noProof/>
        </w:rPr>
        <w:instrText xml:space="preserve"> PAGEREF _Toc279142306 \h </w:instrText>
      </w:r>
      <w:r>
        <w:rPr>
          <w:noProof/>
        </w:rPr>
      </w:r>
      <w:r>
        <w:rPr>
          <w:noProof/>
        </w:rPr>
        <w:fldChar w:fldCharType="separate"/>
      </w:r>
      <w:r>
        <w:rPr>
          <w:noProof/>
        </w:rPr>
        <w:t>2</w:t>
      </w:r>
      <w:r>
        <w:rPr>
          <w:noProof/>
        </w:rPr>
        <w:fldChar w:fldCharType="end"/>
      </w:r>
    </w:p>
    <w:p w14:paraId="6B8926EC" w14:textId="77777777" w:rsidR="002840A5" w:rsidRDefault="002840A5">
      <w:pPr>
        <w:pStyle w:val="TOC2"/>
        <w:rPr>
          <w:rFonts w:asciiTheme="minorHAnsi" w:eastAsiaTheme="minorEastAsia" w:hAnsiTheme="minorHAnsi" w:cstheme="minorBidi"/>
          <w:noProof/>
          <w:sz w:val="24"/>
          <w:szCs w:val="24"/>
          <w:lang w:eastAsia="ja-JP"/>
        </w:rPr>
      </w:pPr>
      <w:r>
        <w:rPr>
          <w:noProof/>
        </w:rPr>
        <w:t>EXTRA-TOPICALITY</w:t>
      </w:r>
      <w:r>
        <w:rPr>
          <w:noProof/>
        </w:rPr>
        <w:tab/>
      </w:r>
      <w:r>
        <w:rPr>
          <w:noProof/>
        </w:rPr>
        <w:fldChar w:fldCharType="begin"/>
      </w:r>
      <w:r>
        <w:rPr>
          <w:noProof/>
        </w:rPr>
        <w:instrText xml:space="preserve"> PAGEREF _Toc279142307 \h </w:instrText>
      </w:r>
      <w:r>
        <w:rPr>
          <w:noProof/>
        </w:rPr>
      </w:r>
      <w:r>
        <w:rPr>
          <w:noProof/>
        </w:rPr>
        <w:fldChar w:fldCharType="separate"/>
      </w:r>
      <w:r>
        <w:rPr>
          <w:noProof/>
        </w:rPr>
        <w:t>3</w:t>
      </w:r>
      <w:r>
        <w:rPr>
          <w:noProof/>
        </w:rPr>
        <w:fldChar w:fldCharType="end"/>
      </w:r>
    </w:p>
    <w:p w14:paraId="07A72233" w14:textId="77777777" w:rsidR="002840A5" w:rsidRDefault="002840A5">
      <w:pPr>
        <w:pStyle w:val="TOC3"/>
        <w:rPr>
          <w:rFonts w:asciiTheme="minorHAnsi" w:eastAsiaTheme="minorEastAsia" w:hAnsiTheme="minorHAnsi" w:cstheme="minorBidi"/>
          <w:noProof/>
          <w:sz w:val="24"/>
          <w:szCs w:val="24"/>
          <w:lang w:eastAsia="ja-JP"/>
        </w:rPr>
      </w:pPr>
      <w:r>
        <w:rPr>
          <w:noProof/>
        </w:rPr>
        <w:t>1.  80% of the plan is beyond the resolution.</w:t>
      </w:r>
      <w:r>
        <w:rPr>
          <w:noProof/>
        </w:rPr>
        <w:tab/>
      </w:r>
      <w:r>
        <w:rPr>
          <w:noProof/>
        </w:rPr>
        <w:fldChar w:fldCharType="begin"/>
      </w:r>
      <w:r>
        <w:rPr>
          <w:noProof/>
        </w:rPr>
        <w:instrText xml:space="preserve"> PAGEREF _Toc279142308 \h </w:instrText>
      </w:r>
      <w:r>
        <w:rPr>
          <w:noProof/>
        </w:rPr>
      </w:r>
      <w:r>
        <w:rPr>
          <w:noProof/>
        </w:rPr>
        <w:fldChar w:fldCharType="separate"/>
      </w:r>
      <w:r>
        <w:rPr>
          <w:noProof/>
        </w:rPr>
        <w:t>3</w:t>
      </w:r>
      <w:r>
        <w:rPr>
          <w:noProof/>
        </w:rPr>
        <w:fldChar w:fldCharType="end"/>
      </w:r>
    </w:p>
    <w:p w14:paraId="31D7B8BF" w14:textId="77777777" w:rsidR="002840A5" w:rsidRDefault="002840A5">
      <w:pPr>
        <w:pStyle w:val="TOC3"/>
        <w:rPr>
          <w:rFonts w:asciiTheme="minorHAnsi" w:eastAsiaTheme="minorEastAsia" w:hAnsiTheme="minorHAnsi" w:cstheme="minorBidi"/>
          <w:noProof/>
          <w:sz w:val="24"/>
          <w:szCs w:val="24"/>
          <w:lang w:eastAsia="ja-JP"/>
        </w:rPr>
      </w:pPr>
      <w:r>
        <w:rPr>
          <w:noProof/>
        </w:rPr>
        <w:t>Link:  4 of the 5 laws related to NSLs are not about electronic communication surveillance.  They’re about the government obtaining records from banks, credit, and travel agencies.</w:t>
      </w:r>
      <w:r>
        <w:rPr>
          <w:noProof/>
        </w:rPr>
        <w:tab/>
      </w:r>
      <w:r>
        <w:rPr>
          <w:noProof/>
        </w:rPr>
        <w:fldChar w:fldCharType="begin"/>
      </w:r>
      <w:r>
        <w:rPr>
          <w:noProof/>
        </w:rPr>
        <w:instrText xml:space="preserve"> PAGEREF _Toc279142309 \h </w:instrText>
      </w:r>
      <w:r>
        <w:rPr>
          <w:noProof/>
        </w:rPr>
      </w:r>
      <w:r>
        <w:rPr>
          <w:noProof/>
        </w:rPr>
        <w:fldChar w:fldCharType="separate"/>
      </w:r>
      <w:r>
        <w:rPr>
          <w:noProof/>
        </w:rPr>
        <w:t>3</w:t>
      </w:r>
      <w:r>
        <w:rPr>
          <w:noProof/>
        </w:rPr>
        <w:fldChar w:fldCharType="end"/>
      </w:r>
    </w:p>
    <w:p w14:paraId="3BD75665" w14:textId="77777777" w:rsidR="002840A5" w:rsidRDefault="002840A5">
      <w:pPr>
        <w:pStyle w:val="TOC3"/>
        <w:rPr>
          <w:rFonts w:asciiTheme="minorHAnsi" w:eastAsiaTheme="minorEastAsia" w:hAnsiTheme="minorHAnsi" w:cstheme="minorBidi"/>
          <w:noProof/>
          <w:sz w:val="24"/>
          <w:szCs w:val="24"/>
          <w:lang w:eastAsia="ja-JP"/>
        </w:rPr>
      </w:pPr>
      <w:r>
        <w:rPr>
          <w:noProof/>
        </w:rPr>
        <w:t>Impact:  Out of bounds.</w:t>
      </w:r>
      <w:r>
        <w:rPr>
          <w:noProof/>
        </w:rPr>
        <w:tab/>
      </w:r>
      <w:r>
        <w:rPr>
          <w:noProof/>
        </w:rPr>
        <w:fldChar w:fldCharType="begin"/>
      </w:r>
      <w:r>
        <w:rPr>
          <w:noProof/>
        </w:rPr>
        <w:instrText xml:space="preserve"> PAGEREF _Toc279142310 \h </w:instrText>
      </w:r>
      <w:r>
        <w:rPr>
          <w:noProof/>
        </w:rPr>
      </w:r>
      <w:r>
        <w:rPr>
          <w:noProof/>
        </w:rPr>
        <w:fldChar w:fldCharType="separate"/>
      </w:r>
      <w:r>
        <w:rPr>
          <w:noProof/>
        </w:rPr>
        <w:t>4</w:t>
      </w:r>
      <w:r>
        <w:rPr>
          <w:noProof/>
        </w:rPr>
        <w:fldChar w:fldCharType="end"/>
      </w:r>
    </w:p>
    <w:p w14:paraId="4F1A46D1" w14:textId="77777777" w:rsidR="002840A5" w:rsidRDefault="002840A5">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_Toc279142311 \h </w:instrText>
      </w:r>
      <w:r>
        <w:rPr>
          <w:noProof/>
        </w:rPr>
      </w:r>
      <w:r>
        <w:rPr>
          <w:noProof/>
        </w:rPr>
        <w:fldChar w:fldCharType="separate"/>
      </w:r>
      <w:r>
        <w:rPr>
          <w:noProof/>
        </w:rPr>
        <w:t>4</w:t>
      </w:r>
      <w:r>
        <w:rPr>
          <w:noProof/>
        </w:rPr>
        <w:fldChar w:fldCharType="end"/>
      </w:r>
    </w:p>
    <w:p w14:paraId="3E1BAFDE" w14:textId="77777777" w:rsidR="002840A5" w:rsidRDefault="002840A5">
      <w:pPr>
        <w:pStyle w:val="TOC3"/>
        <w:rPr>
          <w:rFonts w:asciiTheme="minorHAnsi" w:eastAsiaTheme="minorEastAsia" w:hAnsiTheme="minorHAnsi" w:cstheme="minorBidi"/>
          <w:noProof/>
          <w:sz w:val="24"/>
          <w:szCs w:val="24"/>
          <w:lang w:eastAsia="ja-JP"/>
        </w:rPr>
      </w:pPr>
      <w:r>
        <w:rPr>
          <w:noProof/>
        </w:rPr>
        <w:t>Reforms mostly completed as of Aug. 2014:  FBI has done 23 of 28 NSL reforms recommended by the Inspector General</w:t>
      </w:r>
      <w:r>
        <w:rPr>
          <w:noProof/>
        </w:rPr>
        <w:tab/>
      </w:r>
      <w:r>
        <w:rPr>
          <w:noProof/>
        </w:rPr>
        <w:fldChar w:fldCharType="begin"/>
      </w:r>
      <w:r>
        <w:rPr>
          <w:noProof/>
        </w:rPr>
        <w:instrText xml:space="preserve"> PAGEREF _Toc279142312 \h </w:instrText>
      </w:r>
      <w:r>
        <w:rPr>
          <w:noProof/>
        </w:rPr>
      </w:r>
      <w:r>
        <w:rPr>
          <w:noProof/>
        </w:rPr>
        <w:fldChar w:fldCharType="separate"/>
      </w:r>
      <w:r>
        <w:rPr>
          <w:noProof/>
        </w:rPr>
        <w:t>4</w:t>
      </w:r>
      <w:r>
        <w:rPr>
          <w:noProof/>
        </w:rPr>
        <w:fldChar w:fldCharType="end"/>
      </w:r>
    </w:p>
    <w:p w14:paraId="4736BFB9" w14:textId="77777777" w:rsidR="002840A5" w:rsidRDefault="002840A5">
      <w:pPr>
        <w:pStyle w:val="TOC3"/>
        <w:rPr>
          <w:rFonts w:asciiTheme="minorHAnsi" w:eastAsiaTheme="minorEastAsia" w:hAnsiTheme="minorHAnsi" w:cstheme="minorBidi"/>
          <w:noProof/>
          <w:sz w:val="24"/>
          <w:szCs w:val="24"/>
          <w:lang w:eastAsia="ja-JP"/>
        </w:rPr>
      </w:pPr>
      <w:r>
        <w:rPr>
          <w:noProof/>
        </w:rPr>
        <w:t>Abuses from 10 years ago have been corrected with 2 stages of reform initiated by the Inspector General</w:t>
      </w:r>
      <w:r>
        <w:rPr>
          <w:noProof/>
        </w:rPr>
        <w:tab/>
      </w:r>
      <w:r>
        <w:rPr>
          <w:noProof/>
        </w:rPr>
        <w:fldChar w:fldCharType="begin"/>
      </w:r>
      <w:r>
        <w:rPr>
          <w:noProof/>
        </w:rPr>
        <w:instrText xml:space="preserve"> PAGEREF _Toc279142313 \h </w:instrText>
      </w:r>
      <w:r>
        <w:rPr>
          <w:noProof/>
        </w:rPr>
      </w:r>
      <w:r>
        <w:rPr>
          <w:noProof/>
        </w:rPr>
        <w:fldChar w:fldCharType="separate"/>
      </w:r>
      <w:r>
        <w:rPr>
          <w:noProof/>
        </w:rPr>
        <w:t>5</w:t>
      </w:r>
      <w:r>
        <w:rPr>
          <w:noProof/>
        </w:rPr>
        <w:fldChar w:fldCharType="end"/>
      </w:r>
    </w:p>
    <w:p w14:paraId="1A660183" w14:textId="77777777" w:rsidR="002840A5" w:rsidRDefault="002840A5">
      <w:pPr>
        <w:pStyle w:val="TOC3"/>
        <w:rPr>
          <w:rFonts w:asciiTheme="minorHAnsi" w:eastAsiaTheme="minorEastAsia" w:hAnsiTheme="minorHAnsi" w:cstheme="minorBidi"/>
          <w:noProof/>
          <w:sz w:val="24"/>
          <w:szCs w:val="24"/>
          <w:lang w:eastAsia="ja-JP"/>
        </w:rPr>
      </w:pPr>
      <w:r>
        <w:rPr>
          <w:noProof/>
        </w:rPr>
        <w:t>Errors and abuses are solved by new systems and training programs</w:t>
      </w:r>
      <w:r>
        <w:rPr>
          <w:noProof/>
        </w:rPr>
        <w:tab/>
      </w:r>
      <w:r>
        <w:rPr>
          <w:noProof/>
        </w:rPr>
        <w:fldChar w:fldCharType="begin"/>
      </w:r>
      <w:r>
        <w:rPr>
          <w:noProof/>
        </w:rPr>
        <w:instrText xml:space="preserve"> PAGEREF _Toc279142314 \h </w:instrText>
      </w:r>
      <w:r>
        <w:rPr>
          <w:noProof/>
        </w:rPr>
      </w:r>
      <w:r>
        <w:rPr>
          <w:noProof/>
        </w:rPr>
        <w:fldChar w:fldCharType="separate"/>
      </w:r>
      <w:r>
        <w:rPr>
          <w:noProof/>
        </w:rPr>
        <w:t>5</w:t>
      </w:r>
      <w:r>
        <w:rPr>
          <w:noProof/>
        </w:rPr>
        <w:fldChar w:fldCharType="end"/>
      </w:r>
    </w:p>
    <w:p w14:paraId="5654C83E" w14:textId="77777777" w:rsidR="002840A5" w:rsidRDefault="002840A5">
      <w:pPr>
        <w:pStyle w:val="TOC3"/>
        <w:rPr>
          <w:rFonts w:asciiTheme="minorHAnsi" w:eastAsiaTheme="minorEastAsia" w:hAnsiTheme="minorHAnsi" w:cstheme="minorBidi"/>
          <w:noProof/>
          <w:sz w:val="24"/>
          <w:szCs w:val="24"/>
          <w:lang w:eastAsia="ja-JP"/>
        </w:rPr>
      </w:pPr>
      <w:r>
        <w:rPr>
          <w:noProof/>
        </w:rPr>
        <w:t>Internet providers are refusing to provide data for NSLs</w:t>
      </w:r>
      <w:r>
        <w:rPr>
          <w:noProof/>
        </w:rPr>
        <w:tab/>
      </w:r>
      <w:r>
        <w:rPr>
          <w:noProof/>
        </w:rPr>
        <w:fldChar w:fldCharType="begin"/>
      </w:r>
      <w:r>
        <w:rPr>
          <w:noProof/>
        </w:rPr>
        <w:instrText xml:space="preserve"> PAGEREF _Toc279142315 \h </w:instrText>
      </w:r>
      <w:r>
        <w:rPr>
          <w:noProof/>
        </w:rPr>
      </w:r>
      <w:r>
        <w:rPr>
          <w:noProof/>
        </w:rPr>
        <w:fldChar w:fldCharType="separate"/>
      </w:r>
      <w:r>
        <w:rPr>
          <w:noProof/>
        </w:rPr>
        <w:t>6</w:t>
      </w:r>
      <w:r>
        <w:rPr>
          <w:noProof/>
        </w:rPr>
        <w:fldChar w:fldCharType="end"/>
      </w:r>
    </w:p>
    <w:p w14:paraId="0D92E192" w14:textId="77777777" w:rsidR="002840A5" w:rsidRDefault="002840A5">
      <w:pPr>
        <w:pStyle w:val="TOC3"/>
        <w:rPr>
          <w:rFonts w:asciiTheme="minorHAnsi" w:eastAsiaTheme="minorEastAsia" w:hAnsiTheme="minorHAnsi" w:cstheme="minorBidi"/>
          <w:noProof/>
          <w:sz w:val="24"/>
          <w:szCs w:val="24"/>
          <w:lang w:eastAsia="ja-JP"/>
        </w:rPr>
      </w:pPr>
      <w:r>
        <w:rPr>
          <w:noProof/>
        </w:rPr>
        <w:t>Lots of controls are now in place to regulate NSLs, ensuring they are used responsibly and subject to audit &amp; review</w:t>
      </w:r>
      <w:r>
        <w:rPr>
          <w:noProof/>
        </w:rPr>
        <w:tab/>
      </w:r>
      <w:r>
        <w:rPr>
          <w:noProof/>
        </w:rPr>
        <w:fldChar w:fldCharType="begin"/>
      </w:r>
      <w:r>
        <w:rPr>
          <w:noProof/>
        </w:rPr>
        <w:instrText xml:space="preserve"> PAGEREF _Toc279142316 \h </w:instrText>
      </w:r>
      <w:r>
        <w:rPr>
          <w:noProof/>
        </w:rPr>
      </w:r>
      <w:r>
        <w:rPr>
          <w:noProof/>
        </w:rPr>
        <w:fldChar w:fldCharType="separate"/>
      </w:r>
      <w:r>
        <w:rPr>
          <w:noProof/>
        </w:rPr>
        <w:t>6</w:t>
      </w:r>
      <w:r>
        <w:rPr>
          <w:noProof/>
        </w:rPr>
        <w:fldChar w:fldCharType="end"/>
      </w:r>
    </w:p>
    <w:p w14:paraId="56E458DB" w14:textId="77777777" w:rsidR="002840A5" w:rsidRDefault="002840A5">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_Toc279142317 \h </w:instrText>
      </w:r>
      <w:r>
        <w:rPr>
          <w:noProof/>
        </w:rPr>
      </w:r>
      <w:r>
        <w:rPr>
          <w:noProof/>
        </w:rPr>
        <w:fldChar w:fldCharType="separate"/>
      </w:r>
      <w:r>
        <w:rPr>
          <w:noProof/>
        </w:rPr>
        <w:t>7</w:t>
      </w:r>
      <w:r>
        <w:rPr>
          <w:noProof/>
        </w:rPr>
        <w:fldChar w:fldCharType="end"/>
      </w:r>
    </w:p>
    <w:p w14:paraId="1131B9F4" w14:textId="77777777" w:rsidR="002840A5" w:rsidRDefault="002840A5">
      <w:pPr>
        <w:pStyle w:val="TOC3"/>
        <w:rPr>
          <w:rFonts w:asciiTheme="minorHAnsi" w:eastAsiaTheme="minorEastAsia" w:hAnsiTheme="minorHAnsi" w:cstheme="minorBidi"/>
          <w:noProof/>
          <w:sz w:val="24"/>
          <w:szCs w:val="24"/>
          <w:lang w:eastAsia="ja-JP"/>
        </w:rPr>
      </w:pPr>
      <w:r>
        <w:rPr>
          <w:noProof/>
        </w:rPr>
        <w:t>NSLs don’t violate privacy:  The information obtained from NSLs isn’t “private”</w:t>
      </w:r>
      <w:r>
        <w:rPr>
          <w:noProof/>
        </w:rPr>
        <w:tab/>
      </w:r>
      <w:r>
        <w:rPr>
          <w:noProof/>
        </w:rPr>
        <w:fldChar w:fldCharType="begin"/>
      </w:r>
      <w:r>
        <w:rPr>
          <w:noProof/>
        </w:rPr>
        <w:instrText xml:space="preserve"> PAGEREF _Toc279142318 \h </w:instrText>
      </w:r>
      <w:r>
        <w:rPr>
          <w:noProof/>
        </w:rPr>
      </w:r>
      <w:r>
        <w:rPr>
          <w:noProof/>
        </w:rPr>
        <w:fldChar w:fldCharType="separate"/>
      </w:r>
      <w:r>
        <w:rPr>
          <w:noProof/>
        </w:rPr>
        <w:t>7</w:t>
      </w:r>
      <w:r>
        <w:rPr>
          <w:noProof/>
        </w:rPr>
        <w:fldChar w:fldCharType="end"/>
      </w:r>
    </w:p>
    <w:p w14:paraId="3BB78ACD" w14:textId="77777777" w:rsidR="002840A5" w:rsidRDefault="002840A5">
      <w:pPr>
        <w:pStyle w:val="TOC3"/>
        <w:rPr>
          <w:rFonts w:asciiTheme="minorHAnsi" w:eastAsiaTheme="minorEastAsia" w:hAnsiTheme="minorHAnsi" w:cstheme="minorBidi"/>
          <w:noProof/>
          <w:sz w:val="24"/>
          <w:szCs w:val="24"/>
          <w:lang w:eastAsia="ja-JP"/>
        </w:rPr>
      </w:pPr>
      <w:r>
        <w:rPr>
          <w:noProof/>
        </w:rPr>
        <w:t>“Non-disclosure rule violates 1</w:t>
      </w:r>
      <w:r w:rsidRPr="001D33F4">
        <w:rPr>
          <w:noProof/>
          <w:vertAlign w:val="superscript"/>
        </w:rPr>
        <w:t>st</w:t>
      </w:r>
      <w:r>
        <w:rPr>
          <w:noProof/>
        </w:rPr>
        <w:t xml:space="preserve"> Amendment” – Response:  Safeguards exists and the rule can be challenged or reversed</w:t>
      </w:r>
      <w:r>
        <w:rPr>
          <w:noProof/>
        </w:rPr>
        <w:tab/>
      </w:r>
      <w:r>
        <w:rPr>
          <w:noProof/>
        </w:rPr>
        <w:fldChar w:fldCharType="begin"/>
      </w:r>
      <w:r>
        <w:rPr>
          <w:noProof/>
        </w:rPr>
        <w:instrText xml:space="preserve"> PAGEREF _Toc279142319 \h </w:instrText>
      </w:r>
      <w:r>
        <w:rPr>
          <w:noProof/>
        </w:rPr>
      </w:r>
      <w:r>
        <w:rPr>
          <w:noProof/>
        </w:rPr>
        <w:fldChar w:fldCharType="separate"/>
      </w:r>
      <w:r>
        <w:rPr>
          <w:noProof/>
        </w:rPr>
        <w:t>7</w:t>
      </w:r>
      <w:r>
        <w:rPr>
          <w:noProof/>
        </w:rPr>
        <w:fldChar w:fldCharType="end"/>
      </w:r>
    </w:p>
    <w:p w14:paraId="0B54A70E" w14:textId="77777777" w:rsidR="002840A5" w:rsidRDefault="002840A5">
      <w:pPr>
        <w:pStyle w:val="TOC3"/>
        <w:rPr>
          <w:rFonts w:asciiTheme="minorHAnsi" w:eastAsiaTheme="minorEastAsia" w:hAnsiTheme="minorHAnsi" w:cstheme="minorBidi"/>
          <w:noProof/>
          <w:sz w:val="24"/>
          <w:szCs w:val="24"/>
          <w:lang w:eastAsia="ja-JP"/>
        </w:rPr>
      </w:pPr>
      <w:r>
        <w:rPr>
          <w:noProof/>
        </w:rPr>
        <w:t>“Gag order”/ Non-disclosure rule: It’s justified by the security risk and there are legal ways to appeal it</w:t>
      </w:r>
      <w:r>
        <w:rPr>
          <w:noProof/>
        </w:rPr>
        <w:tab/>
      </w:r>
      <w:r>
        <w:rPr>
          <w:noProof/>
        </w:rPr>
        <w:fldChar w:fldCharType="begin"/>
      </w:r>
      <w:r>
        <w:rPr>
          <w:noProof/>
        </w:rPr>
        <w:instrText xml:space="preserve"> PAGEREF _Toc279142320 \h </w:instrText>
      </w:r>
      <w:r>
        <w:rPr>
          <w:noProof/>
        </w:rPr>
      </w:r>
      <w:r>
        <w:rPr>
          <w:noProof/>
        </w:rPr>
        <w:fldChar w:fldCharType="separate"/>
      </w:r>
      <w:r>
        <w:rPr>
          <w:noProof/>
        </w:rPr>
        <w:t>8</w:t>
      </w:r>
      <w:r>
        <w:rPr>
          <w:noProof/>
        </w:rPr>
        <w:fldChar w:fldCharType="end"/>
      </w:r>
    </w:p>
    <w:p w14:paraId="499969A0" w14:textId="77777777" w:rsidR="002840A5" w:rsidRDefault="002840A5">
      <w:pPr>
        <w:pStyle w:val="TOC3"/>
        <w:rPr>
          <w:rFonts w:asciiTheme="minorHAnsi" w:eastAsiaTheme="minorEastAsia" w:hAnsiTheme="minorHAnsi" w:cstheme="minorBidi"/>
          <w:noProof/>
          <w:sz w:val="24"/>
          <w:szCs w:val="24"/>
          <w:lang w:eastAsia="ja-JP"/>
        </w:rPr>
      </w:pPr>
      <w:r w:rsidRPr="001D33F4">
        <w:rPr>
          <w:noProof/>
          <w:shd w:val="clear" w:color="auto" w:fill="FFFFFF"/>
        </w:rPr>
        <w:t>Most NSL non-disclosure orders were ruled unconstitutional, so they’re gone.  The only ones left must meet very strict criteria</w:t>
      </w:r>
      <w:r>
        <w:rPr>
          <w:noProof/>
        </w:rPr>
        <w:tab/>
      </w:r>
      <w:r>
        <w:rPr>
          <w:noProof/>
        </w:rPr>
        <w:fldChar w:fldCharType="begin"/>
      </w:r>
      <w:r>
        <w:rPr>
          <w:noProof/>
        </w:rPr>
        <w:instrText xml:space="preserve"> PAGEREF _Toc279142321 \h </w:instrText>
      </w:r>
      <w:r>
        <w:rPr>
          <w:noProof/>
        </w:rPr>
      </w:r>
      <w:r>
        <w:rPr>
          <w:noProof/>
        </w:rPr>
        <w:fldChar w:fldCharType="separate"/>
      </w:r>
      <w:r>
        <w:rPr>
          <w:noProof/>
        </w:rPr>
        <w:t>9</w:t>
      </w:r>
      <w:r>
        <w:rPr>
          <w:noProof/>
        </w:rPr>
        <w:fldChar w:fldCharType="end"/>
      </w:r>
    </w:p>
    <w:p w14:paraId="1D75F90B" w14:textId="77777777" w:rsidR="002840A5" w:rsidRDefault="002840A5">
      <w:pPr>
        <w:pStyle w:val="TOC3"/>
        <w:rPr>
          <w:rFonts w:asciiTheme="minorHAnsi" w:eastAsiaTheme="minorEastAsia" w:hAnsiTheme="minorHAnsi" w:cstheme="minorBidi"/>
          <w:noProof/>
          <w:sz w:val="24"/>
          <w:szCs w:val="24"/>
          <w:lang w:eastAsia="ja-JP"/>
        </w:rPr>
      </w:pPr>
      <w:r w:rsidRPr="001D33F4">
        <w:rPr>
          <w:noProof/>
          <w:shd w:val="clear" w:color="auto" w:fill="FFFFFF"/>
        </w:rPr>
        <w:t xml:space="preserve">Non-disclosure rule: How bad can it be?  </w:t>
      </w:r>
      <w:r w:rsidRPr="001D33F4">
        <w:rPr>
          <w:noProof/>
          <w:u w:val="single"/>
          <w:shd w:val="clear" w:color="auto" w:fill="FFFFFF"/>
        </w:rPr>
        <w:t>No one</w:t>
      </w:r>
      <w:r w:rsidRPr="001D33F4">
        <w:rPr>
          <w:noProof/>
          <w:shd w:val="clear" w:color="auto" w:fill="FFFFFF"/>
        </w:rPr>
        <w:t xml:space="preserve"> has ever requested to use the disclosure appeal process</w:t>
      </w:r>
      <w:r>
        <w:rPr>
          <w:noProof/>
        </w:rPr>
        <w:tab/>
      </w:r>
      <w:r>
        <w:rPr>
          <w:noProof/>
        </w:rPr>
        <w:fldChar w:fldCharType="begin"/>
      </w:r>
      <w:r>
        <w:rPr>
          <w:noProof/>
        </w:rPr>
        <w:instrText xml:space="preserve"> PAGEREF _Toc279142322 \h </w:instrText>
      </w:r>
      <w:r>
        <w:rPr>
          <w:noProof/>
        </w:rPr>
      </w:r>
      <w:r>
        <w:rPr>
          <w:noProof/>
        </w:rPr>
        <w:fldChar w:fldCharType="separate"/>
      </w:r>
      <w:r>
        <w:rPr>
          <w:noProof/>
        </w:rPr>
        <w:t>9</w:t>
      </w:r>
      <w:r>
        <w:rPr>
          <w:noProof/>
        </w:rPr>
        <w:fldChar w:fldCharType="end"/>
      </w:r>
    </w:p>
    <w:p w14:paraId="51DFCD46" w14:textId="77777777" w:rsidR="002840A5" w:rsidRDefault="002840A5">
      <w:pPr>
        <w:pStyle w:val="TOC3"/>
        <w:rPr>
          <w:rFonts w:asciiTheme="minorHAnsi" w:eastAsiaTheme="minorEastAsia" w:hAnsiTheme="minorHAnsi" w:cstheme="minorBidi"/>
          <w:noProof/>
          <w:sz w:val="24"/>
          <w:szCs w:val="24"/>
          <w:lang w:eastAsia="ja-JP"/>
        </w:rPr>
      </w:pPr>
      <w:r>
        <w:rPr>
          <w:noProof/>
        </w:rPr>
        <w:t>No 1</w:t>
      </w:r>
      <w:r w:rsidRPr="001D33F4">
        <w:rPr>
          <w:noProof/>
          <w:vertAlign w:val="superscript"/>
        </w:rPr>
        <w:t>st</w:t>
      </w:r>
      <w:r>
        <w:rPr>
          <w:noProof/>
        </w:rPr>
        <w:t xml:space="preserve"> Amendment “Freedom   of Association” violation with NSLs – because commercial relationships don’t give rise to associational rights</w:t>
      </w:r>
      <w:r>
        <w:rPr>
          <w:noProof/>
        </w:rPr>
        <w:tab/>
      </w:r>
      <w:r>
        <w:rPr>
          <w:noProof/>
        </w:rPr>
        <w:fldChar w:fldCharType="begin"/>
      </w:r>
      <w:r>
        <w:rPr>
          <w:noProof/>
        </w:rPr>
        <w:instrText xml:space="preserve"> PAGEREF _Toc279142323 \h </w:instrText>
      </w:r>
      <w:r>
        <w:rPr>
          <w:noProof/>
        </w:rPr>
      </w:r>
      <w:r>
        <w:rPr>
          <w:noProof/>
        </w:rPr>
        <w:fldChar w:fldCharType="separate"/>
      </w:r>
      <w:r>
        <w:rPr>
          <w:noProof/>
        </w:rPr>
        <w:t>10</w:t>
      </w:r>
      <w:r>
        <w:rPr>
          <w:noProof/>
        </w:rPr>
        <w:fldChar w:fldCharType="end"/>
      </w:r>
    </w:p>
    <w:p w14:paraId="11D2CBB4" w14:textId="77777777" w:rsidR="002840A5" w:rsidRDefault="002840A5">
      <w:pPr>
        <w:pStyle w:val="TOC3"/>
        <w:rPr>
          <w:rFonts w:asciiTheme="minorHAnsi" w:eastAsiaTheme="minorEastAsia" w:hAnsiTheme="minorHAnsi" w:cstheme="minorBidi"/>
          <w:noProof/>
          <w:sz w:val="24"/>
          <w:szCs w:val="24"/>
          <w:lang w:eastAsia="ja-JP"/>
        </w:rPr>
      </w:pPr>
      <w:r>
        <w:rPr>
          <w:noProof/>
        </w:rPr>
        <w:t>No eavesdropping:  NSLs are not used to obtain the content of communications</w:t>
      </w:r>
      <w:r>
        <w:rPr>
          <w:noProof/>
        </w:rPr>
        <w:tab/>
      </w:r>
      <w:r>
        <w:rPr>
          <w:noProof/>
        </w:rPr>
        <w:fldChar w:fldCharType="begin"/>
      </w:r>
      <w:r>
        <w:rPr>
          <w:noProof/>
        </w:rPr>
        <w:instrText xml:space="preserve"> PAGEREF _Toc279142324 \h </w:instrText>
      </w:r>
      <w:r>
        <w:rPr>
          <w:noProof/>
        </w:rPr>
      </w:r>
      <w:r>
        <w:rPr>
          <w:noProof/>
        </w:rPr>
        <w:fldChar w:fldCharType="separate"/>
      </w:r>
      <w:r>
        <w:rPr>
          <w:noProof/>
        </w:rPr>
        <w:t>10</w:t>
      </w:r>
      <w:r>
        <w:rPr>
          <w:noProof/>
        </w:rPr>
        <w:fldChar w:fldCharType="end"/>
      </w:r>
    </w:p>
    <w:p w14:paraId="5EDD60A0" w14:textId="77777777" w:rsidR="002840A5" w:rsidRDefault="002840A5">
      <w:pPr>
        <w:pStyle w:val="TOC3"/>
        <w:rPr>
          <w:rFonts w:asciiTheme="minorHAnsi" w:eastAsiaTheme="minorEastAsia" w:hAnsiTheme="minorHAnsi" w:cstheme="minorBidi"/>
          <w:noProof/>
          <w:sz w:val="24"/>
          <w:szCs w:val="24"/>
          <w:lang w:eastAsia="ja-JP"/>
        </w:rPr>
      </w:pPr>
      <w:r>
        <w:rPr>
          <w:noProof/>
        </w:rPr>
        <w:t>NSL authority is quite limited</w:t>
      </w:r>
      <w:r>
        <w:rPr>
          <w:noProof/>
        </w:rPr>
        <w:tab/>
      </w:r>
      <w:r>
        <w:rPr>
          <w:noProof/>
        </w:rPr>
        <w:fldChar w:fldCharType="begin"/>
      </w:r>
      <w:r>
        <w:rPr>
          <w:noProof/>
        </w:rPr>
        <w:instrText xml:space="preserve"> PAGEREF _Toc279142325 \h </w:instrText>
      </w:r>
      <w:r>
        <w:rPr>
          <w:noProof/>
        </w:rPr>
      </w:r>
      <w:r>
        <w:rPr>
          <w:noProof/>
        </w:rPr>
        <w:fldChar w:fldCharType="separate"/>
      </w:r>
      <w:r>
        <w:rPr>
          <w:noProof/>
        </w:rPr>
        <w:t>10</w:t>
      </w:r>
      <w:r>
        <w:rPr>
          <w:noProof/>
        </w:rPr>
        <w:fldChar w:fldCharType="end"/>
      </w:r>
    </w:p>
    <w:p w14:paraId="6DD0C8B7" w14:textId="77777777" w:rsidR="002840A5" w:rsidRDefault="002840A5">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_Toc279142326 \h </w:instrText>
      </w:r>
      <w:r>
        <w:rPr>
          <w:noProof/>
        </w:rPr>
      </w:r>
      <w:r>
        <w:rPr>
          <w:noProof/>
        </w:rPr>
        <w:fldChar w:fldCharType="separate"/>
      </w:r>
      <w:r>
        <w:rPr>
          <w:noProof/>
        </w:rPr>
        <w:t>11</w:t>
      </w:r>
      <w:r>
        <w:rPr>
          <w:noProof/>
        </w:rPr>
        <w:fldChar w:fldCharType="end"/>
      </w:r>
    </w:p>
    <w:p w14:paraId="7DB11893" w14:textId="77777777" w:rsidR="002840A5" w:rsidRDefault="002840A5">
      <w:pPr>
        <w:pStyle w:val="TOC2"/>
        <w:rPr>
          <w:rFonts w:asciiTheme="minorHAnsi" w:eastAsiaTheme="minorEastAsia" w:hAnsiTheme="minorHAnsi" w:cstheme="minorBidi"/>
          <w:noProof/>
          <w:sz w:val="24"/>
          <w:szCs w:val="24"/>
          <w:lang w:eastAsia="ja-JP"/>
        </w:rPr>
      </w:pPr>
      <w:r>
        <w:rPr>
          <w:noProof/>
        </w:rPr>
        <w:t>1.  Loss of secrecy.</w:t>
      </w:r>
      <w:r>
        <w:rPr>
          <w:noProof/>
        </w:rPr>
        <w:tab/>
      </w:r>
      <w:r>
        <w:rPr>
          <w:noProof/>
        </w:rPr>
        <w:fldChar w:fldCharType="begin"/>
      </w:r>
      <w:r>
        <w:rPr>
          <w:noProof/>
        </w:rPr>
        <w:instrText xml:space="preserve"> PAGEREF _Toc279142327 \h </w:instrText>
      </w:r>
      <w:r>
        <w:rPr>
          <w:noProof/>
        </w:rPr>
      </w:r>
      <w:r>
        <w:rPr>
          <w:noProof/>
        </w:rPr>
        <w:fldChar w:fldCharType="separate"/>
      </w:r>
      <w:r>
        <w:rPr>
          <w:noProof/>
        </w:rPr>
        <w:t>11</w:t>
      </w:r>
      <w:r>
        <w:rPr>
          <w:noProof/>
        </w:rPr>
        <w:fldChar w:fldCharType="end"/>
      </w:r>
    </w:p>
    <w:p w14:paraId="0E08C899" w14:textId="77777777" w:rsidR="002840A5" w:rsidRDefault="002840A5">
      <w:pPr>
        <w:pStyle w:val="TOC3"/>
        <w:rPr>
          <w:rFonts w:asciiTheme="minorHAnsi" w:eastAsiaTheme="minorEastAsia" w:hAnsiTheme="minorHAnsi" w:cstheme="minorBidi"/>
          <w:noProof/>
          <w:sz w:val="24"/>
          <w:szCs w:val="24"/>
          <w:lang w:eastAsia="ja-JP"/>
        </w:rPr>
      </w:pPr>
      <w:r>
        <w:rPr>
          <w:noProof/>
        </w:rPr>
        <w:t>Link &amp; Impact:  NSL secrecy is essential to protecting the safety of persons and to protect the investigation itself</w:t>
      </w:r>
      <w:r>
        <w:rPr>
          <w:noProof/>
        </w:rPr>
        <w:tab/>
      </w:r>
      <w:r>
        <w:rPr>
          <w:noProof/>
        </w:rPr>
        <w:fldChar w:fldCharType="begin"/>
      </w:r>
      <w:r>
        <w:rPr>
          <w:noProof/>
        </w:rPr>
        <w:instrText xml:space="preserve"> PAGEREF _Toc279142328 \h </w:instrText>
      </w:r>
      <w:r>
        <w:rPr>
          <w:noProof/>
        </w:rPr>
      </w:r>
      <w:r>
        <w:rPr>
          <w:noProof/>
        </w:rPr>
        <w:fldChar w:fldCharType="separate"/>
      </w:r>
      <w:r>
        <w:rPr>
          <w:noProof/>
        </w:rPr>
        <w:t>11</w:t>
      </w:r>
      <w:r>
        <w:rPr>
          <w:noProof/>
        </w:rPr>
        <w:fldChar w:fldCharType="end"/>
      </w:r>
    </w:p>
    <w:p w14:paraId="02045F8A" w14:textId="77777777" w:rsidR="002840A5" w:rsidRDefault="002840A5">
      <w:pPr>
        <w:pStyle w:val="TOC3"/>
        <w:rPr>
          <w:rFonts w:asciiTheme="minorHAnsi" w:eastAsiaTheme="minorEastAsia" w:hAnsiTheme="minorHAnsi" w:cstheme="minorBidi"/>
          <w:noProof/>
          <w:sz w:val="24"/>
          <w:szCs w:val="24"/>
          <w:lang w:eastAsia="ja-JP"/>
        </w:rPr>
      </w:pPr>
      <w:r>
        <w:rPr>
          <w:noProof/>
        </w:rPr>
        <w:t>Impact:  Virtually every significant terrorism or espionage investigation requires NSLs for some critical information</w:t>
      </w:r>
      <w:r>
        <w:rPr>
          <w:noProof/>
        </w:rPr>
        <w:tab/>
      </w:r>
      <w:r>
        <w:rPr>
          <w:noProof/>
        </w:rPr>
        <w:fldChar w:fldCharType="begin"/>
      </w:r>
      <w:r>
        <w:rPr>
          <w:noProof/>
        </w:rPr>
        <w:instrText xml:space="preserve"> PAGEREF _Toc279142329 \h </w:instrText>
      </w:r>
      <w:r>
        <w:rPr>
          <w:noProof/>
        </w:rPr>
      </w:r>
      <w:r>
        <w:rPr>
          <w:noProof/>
        </w:rPr>
        <w:fldChar w:fldCharType="separate"/>
      </w:r>
      <w:r>
        <w:rPr>
          <w:noProof/>
        </w:rPr>
        <w:t>11</w:t>
      </w:r>
      <w:r>
        <w:rPr>
          <w:noProof/>
        </w:rPr>
        <w:fldChar w:fldCharType="end"/>
      </w:r>
    </w:p>
    <w:p w14:paraId="7CD1EF52" w14:textId="77777777" w:rsidR="002840A5" w:rsidRDefault="002840A5">
      <w:pPr>
        <w:pStyle w:val="TOC2"/>
        <w:rPr>
          <w:rFonts w:asciiTheme="minorHAnsi" w:eastAsiaTheme="minorEastAsia" w:hAnsiTheme="minorHAnsi" w:cstheme="minorBidi"/>
          <w:noProof/>
          <w:sz w:val="24"/>
          <w:szCs w:val="24"/>
          <w:lang w:eastAsia="ja-JP"/>
        </w:rPr>
      </w:pPr>
      <w:r>
        <w:rPr>
          <w:noProof/>
        </w:rPr>
        <w:t>2.  Slower investigations</w:t>
      </w:r>
      <w:r>
        <w:rPr>
          <w:noProof/>
        </w:rPr>
        <w:tab/>
      </w:r>
      <w:r>
        <w:rPr>
          <w:noProof/>
        </w:rPr>
        <w:fldChar w:fldCharType="begin"/>
      </w:r>
      <w:r>
        <w:rPr>
          <w:noProof/>
        </w:rPr>
        <w:instrText xml:space="preserve"> PAGEREF _Toc279142330 \h </w:instrText>
      </w:r>
      <w:r>
        <w:rPr>
          <w:noProof/>
        </w:rPr>
      </w:r>
      <w:r>
        <w:rPr>
          <w:noProof/>
        </w:rPr>
        <w:fldChar w:fldCharType="separate"/>
      </w:r>
      <w:r>
        <w:rPr>
          <w:noProof/>
        </w:rPr>
        <w:t>12</w:t>
      </w:r>
      <w:r>
        <w:rPr>
          <w:noProof/>
        </w:rPr>
        <w:fldChar w:fldCharType="end"/>
      </w:r>
    </w:p>
    <w:p w14:paraId="1CD713DB" w14:textId="77777777" w:rsidR="002840A5" w:rsidRDefault="002840A5">
      <w:pPr>
        <w:pStyle w:val="TOC3"/>
        <w:rPr>
          <w:rFonts w:asciiTheme="minorHAnsi" w:eastAsiaTheme="minorEastAsia" w:hAnsiTheme="minorHAnsi" w:cstheme="minorBidi"/>
          <w:noProof/>
          <w:sz w:val="24"/>
          <w:szCs w:val="24"/>
          <w:lang w:eastAsia="ja-JP"/>
        </w:rPr>
      </w:pPr>
      <w:r>
        <w:rPr>
          <w:noProof/>
        </w:rPr>
        <w:t>Link:  Affirmative slows down law enforcement access to business records</w:t>
      </w:r>
      <w:r>
        <w:rPr>
          <w:noProof/>
        </w:rPr>
        <w:tab/>
      </w:r>
      <w:r>
        <w:rPr>
          <w:noProof/>
        </w:rPr>
        <w:fldChar w:fldCharType="begin"/>
      </w:r>
      <w:r>
        <w:rPr>
          <w:noProof/>
        </w:rPr>
        <w:instrText xml:space="preserve"> PAGEREF _Toc279142331 \h </w:instrText>
      </w:r>
      <w:r>
        <w:rPr>
          <w:noProof/>
        </w:rPr>
      </w:r>
      <w:r>
        <w:rPr>
          <w:noProof/>
        </w:rPr>
        <w:fldChar w:fldCharType="separate"/>
      </w:r>
      <w:r>
        <w:rPr>
          <w:noProof/>
        </w:rPr>
        <w:t>12</w:t>
      </w:r>
      <w:r>
        <w:rPr>
          <w:noProof/>
        </w:rPr>
        <w:fldChar w:fldCharType="end"/>
      </w:r>
    </w:p>
    <w:p w14:paraId="022174BB" w14:textId="77777777" w:rsidR="002840A5" w:rsidRDefault="002840A5">
      <w:pPr>
        <w:pStyle w:val="TOC3"/>
        <w:rPr>
          <w:rFonts w:asciiTheme="minorHAnsi" w:eastAsiaTheme="minorEastAsia" w:hAnsiTheme="minorHAnsi" w:cstheme="minorBidi"/>
          <w:noProof/>
          <w:sz w:val="24"/>
          <w:szCs w:val="24"/>
          <w:lang w:eastAsia="ja-JP"/>
        </w:rPr>
      </w:pPr>
      <w:r>
        <w:rPr>
          <w:noProof/>
        </w:rPr>
        <w:t>Link:  Terrorism threat justifies law enforcement access to business records.</w:t>
      </w:r>
      <w:r>
        <w:rPr>
          <w:noProof/>
        </w:rPr>
        <w:tab/>
      </w:r>
      <w:r>
        <w:rPr>
          <w:noProof/>
        </w:rPr>
        <w:fldChar w:fldCharType="begin"/>
      </w:r>
      <w:r>
        <w:rPr>
          <w:noProof/>
        </w:rPr>
        <w:instrText xml:space="preserve"> PAGEREF _Toc279142332 \h </w:instrText>
      </w:r>
      <w:r>
        <w:rPr>
          <w:noProof/>
        </w:rPr>
      </w:r>
      <w:r>
        <w:rPr>
          <w:noProof/>
        </w:rPr>
        <w:fldChar w:fldCharType="separate"/>
      </w:r>
      <w:r>
        <w:rPr>
          <w:noProof/>
        </w:rPr>
        <w:t>12</w:t>
      </w:r>
      <w:r>
        <w:rPr>
          <w:noProof/>
        </w:rPr>
        <w:fldChar w:fldCharType="end"/>
      </w:r>
    </w:p>
    <w:p w14:paraId="5887D7F0" w14:textId="77777777" w:rsidR="002840A5" w:rsidRDefault="002840A5">
      <w:pPr>
        <w:pStyle w:val="TOC3"/>
        <w:rPr>
          <w:rFonts w:asciiTheme="minorHAnsi" w:eastAsiaTheme="minorEastAsia" w:hAnsiTheme="minorHAnsi" w:cstheme="minorBidi"/>
          <w:noProof/>
          <w:sz w:val="24"/>
          <w:szCs w:val="24"/>
          <w:lang w:eastAsia="ja-JP"/>
        </w:rPr>
      </w:pPr>
      <w:r>
        <w:rPr>
          <w:noProof/>
        </w:rPr>
        <w:t>Link:  Requiring court orders will divert critical law enforcement resources</w:t>
      </w:r>
      <w:r>
        <w:rPr>
          <w:noProof/>
        </w:rPr>
        <w:tab/>
      </w:r>
      <w:r>
        <w:rPr>
          <w:noProof/>
        </w:rPr>
        <w:fldChar w:fldCharType="begin"/>
      </w:r>
      <w:r>
        <w:rPr>
          <w:noProof/>
        </w:rPr>
        <w:instrText xml:space="preserve"> PAGEREF _Toc279142333 \h </w:instrText>
      </w:r>
      <w:r>
        <w:rPr>
          <w:noProof/>
        </w:rPr>
      </w:r>
      <w:r>
        <w:rPr>
          <w:noProof/>
        </w:rPr>
        <w:fldChar w:fldCharType="separate"/>
      </w:r>
      <w:r>
        <w:rPr>
          <w:noProof/>
        </w:rPr>
        <w:t>12</w:t>
      </w:r>
      <w:r>
        <w:rPr>
          <w:noProof/>
        </w:rPr>
        <w:fldChar w:fldCharType="end"/>
      </w:r>
    </w:p>
    <w:p w14:paraId="6E740042" w14:textId="77777777" w:rsidR="002840A5" w:rsidRDefault="002840A5">
      <w:pPr>
        <w:pStyle w:val="TOC3"/>
        <w:rPr>
          <w:rFonts w:asciiTheme="minorHAnsi" w:eastAsiaTheme="minorEastAsia" w:hAnsiTheme="minorHAnsi" w:cstheme="minorBidi"/>
          <w:noProof/>
          <w:sz w:val="24"/>
          <w:szCs w:val="24"/>
          <w:lang w:eastAsia="ja-JP"/>
        </w:rPr>
      </w:pPr>
      <w:r>
        <w:rPr>
          <w:noProof/>
        </w:rPr>
        <w:t>Link:  Delays in access to stored content will slow down investigations and reduce our ability to fight crime</w:t>
      </w:r>
      <w:r>
        <w:rPr>
          <w:noProof/>
        </w:rPr>
        <w:tab/>
      </w:r>
      <w:r>
        <w:rPr>
          <w:noProof/>
        </w:rPr>
        <w:fldChar w:fldCharType="begin"/>
      </w:r>
      <w:r>
        <w:rPr>
          <w:noProof/>
        </w:rPr>
        <w:instrText xml:space="preserve"> PAGEREF _Toc279142334 \h </w:instrText>
      </w:r>
      <w:r>
        <w:rPr>
          <w:noProof/>
        </w:rPr>
      </w:r>
      <w:r>
        <w:rPr>
          <w:noProof/>
        </w:rPr>
        <w:fldChar w:fldCharType="separate"/>
      </w:r>
      <w:r>
        <w:rPr>
          <w:noProof/>
        </w:rPr>
        <w:t>12</w:t>
      </w:r>
      <w:r>
        <w:rPr>
          <w:noProof/>
        </w:rPr>
        <w:fldChar w:fldCharType="end"/>
      </w:r>
    </w:p>
    <w:p w14:paraId="733ACE4C" w14:textId="77777777" w:rsidR="002840A5" w:rsidRDefault="002840A5">
      <w:pPr>
        <w:pStyle w:val="TOC3"/>
        <w:rPr>
          <w:rFonts w:asciiTheme="minorHAnsi" w:eastAsiaTheme="minorEastAsia" w:hAnsiTheme="minorHAnsi" w:cstheme="minorBidi"/>
          <w:noProof/>
          <w:sz w:val="24"/>
          <w:szCs w:val="24"/>
          <w:lang w:eastAsia="ja-JP"/>
        </w:rPr>
      </w:pPr>
      <w:r>
        <w:rPr>
          <w:noProof/>
        </w:rPr>
        <w:t>Brink: Quick access to electronic communication is key to protecting the public from crime</w:t>
      </w:r>
      <w:r>
        <w:rPr>
          <w:noProof/>
        </w:rPr>
        <w:tab/>
      </w:r>
      <w:r>
        <w:rPr>
          <w:noProof/>
        </w:rPr>
        <w:fldChar w:fldCharType="begin"/>
      </w:r>
      <w:r>
        <w:rPr>
          <w:noProof/>
        </w:rPr>
        <w:instrText xml:space="preserve"> PAGEREF _Toc279142335 \h </w:instrText>
      </w:r>
      <w:r>
        <w:rPr>
          <w:noProof/>
        </w:rPr>
      </w:r>
      <w:r>
        <w:rPr>
          <w:noProof/>
        </w:rPr>
        <w:fldChar w:fldCharType="separate"/>
      </w:r>
      <w:r>
        <w:rPr>
          <w:noProof/>
        </w:rPr>
        <w:t>13</w:t>
      </w:r>
      <w:r>
        <w:rPr>
          <w:noProof/>
        </w:rPr>
        <w:fldChar w:fldCharType="end"/>
      </w:r>
    </w:p>
    <w:p w14:paraId="32093039" w14:textId="77777777" w:rsidR="002840A5" w:rsidRDefault="002840A5">
      <w:pPr>
        <w:pStyle w:val="TOC3"/>
        <w:rPr>
          <w:rFonts w:asciiTheme="minorHAnsi" w:eastAsiaTheme="minorEastAsia" w:hAnsiTheme="minorHAnsi" w:cstheme="minorBidi"/>
          <w:noProof/>
          <w:sz w:val="24"/>
          <w:szCs w:val="24"/>
          <w:lang w:eastAsia="ja-JP"/>
        </w:rPr>
      </w:pPr>
      <w:r w:rsidRPr="001D33F4">
        <w:rPr>
          <w:noProof/>
          <w:shd w:val="clear" w:color="auto" w:fill="FFFFFF"/>
        </w:rPr>
        <w:t>Link &amp; Brink: Email content is key to investigating lots of serious crimes</w:t>
      </w:r>
      <w:r>
        <w:rPr>
          <w:noProof/>
        </w:rPr>
        <w:tab/>
      </w:r>
      <w:r>
        <w:rPr>
          <w:noProof/>
        </w:rPr>
        <w:fldChar w:fldCharType="begin"/>
      </w:r>
      <w:r>
        <w:rPr>
          <w:noProof/>
        </w:rPr>
        <w:instrText xml:space="preserve"> PAGEREF _Toc279142336 \h </w:instrText>
      </w:r>
      <w:r>
        <w:rPr>
          <w:noProof/>
        </w:rPr>
      </w:r>
      <w:r>
        <w:rPr>
          <w:noProof/>
        </w:rPr>
        <w:fldChar w:fldCharType="separate"/>
      </w:r>
      <w:r>
        <w:rPr>
          <w:noProof/>
        </w:rPr>
        <w:t>13</w:t>
      </w:r>
      <w:r>
        <w:rPr>
          <w:noProof/>
        </w:rPr>
        <w:fldChar w:fldCharType="end"/>
      </w:r>
    </w:p>
    <w:p w14:paraId="258BC2DD" w14:textId="77777777" w:rsidR="002840A5" w:rsidRDefault="002840A5">
      <w:pPr>
        <w:pStyle w:val="TOC3"/>
        <w:rPr>
          <w:rFonts w:asciiTheme="minorHAnsi" w:eastAsiaTheme="minorEastAsia" w:hAnsiTheme="minorHAnsi" w:cstheme="minorBidi"/>
          <w:noProof/>
          <w:sz w:val="24"/>
          <w:szCs w:val="24"/>
          <w:lang w:eastAsia="ja-JP"/>
        </w:rPr>
      </w:pPr>
      <w:r>
        <w:rPr>
          <w:noProof/>
        </w:rPr>
        <w:t>Impact:  Security tradeoff.  Abducted children, escaping fugitives, terrorist attacks…</w:t>
      </w:r>
      <w:r>
        <w:rPr>
          <w:noProof/>
        </w:rPr>
        <w:tab/>
      </w:r>
      <w:r>
        <w:rPr>
          <w:noProof/>
        </w:rPr>
        <w:fldChar w:fldCharType="begin"/>
      </w:r>
      <w:r>
        <w:rPr>
          <w:noProof/>
        </w:rPr>
        <w:instrText xml:space="preserve"> PAGEREF _Toc279142337 \h </w:instrText>
      </w:r>
      <w:r>
        <w:rPr>
          <w:noProof/>
        </w:rPr>
      </w:r>
      <w:r>
        <w:rPr>
          <w:noProof/>
        </w:rPr>
        <w:fldChar w:fldCharType="separate"/>
      </w:r>
      <w:r>
        <w:rPr>
          <w:noProof/>
        </w:rPr>
        <w:t>13</w:t>
      </w:r>
      <w:r>
        <w:rPr>
          <w:noProof/>
        </w:rPr>
        <w:fldChar w:fldCharType="end"/>
      </w:r>
    </w:p>
    <w:p w14:paraId="14BDB5D2" w14:textId="77777777" w:rsidR="002840A5" w:rsidRDefault="002840A5" w:rsidP="002840A5">
      <w:pPr>
        <w:pStyle w:val="TOC2"/>
        <w:sectPr w:rsidR="002840A5"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4CF4F934" w14:textId="77777777" w:rsidR="002840A5" w:rsidRDefault="002840A5" w:rsidP="002840A5">
      <w:pPr>
        <w:pStyle w:val="Title2"/>
      </w:pPr>
      <w:bookmarkStart w:id="0" w:name="_Toc279142302"/>
      <w:r>
        <w:lastRenderedPageBreak/>
        <w:t>Negative: National Security Letters</w:t>
      </w:r>
      <w:bookmarkEnd w:id="0"/>
    </w:p>
    <w:p w14:paraId="6D091768" w14:textId="77777777" w:rsidR="002840A5" w:rsidRPr="00E722BF" w:rsidRDefault="002840A5" w:rsidP="002840A5">
      <w:pPr>
        <w:pStyle w:val="Evidence"/>
        <w:jc w:val="center"/>
        <w:rPr>
          <w:rFonts w:ascii="Arial" w:hAnsi="Arial" w:cs="Arial"/>
        </w:rPr>
      </w:pPr>
      <w:r w:rsidRPr="00E722BF">
        <w:rPr>
          <w:rFonts w:ascii="Arial" w:hAnsi="Arial" w:cs="Arial"/>
        </w:rPr>
        <w:t>By Vance Trefethen</w:t>
      </w:r>
    </w:p>
    <w:p w14:paraId="10D3D09E" w14:textId="77777777" w:rsidR="002840A5" w:rsidRDefault="002840A5" w:rsidP="002840A5">
      <w:pPr>
        <w:pStyle w:val="Contention1"/>
      </w:pPr>
      <w:bookmarkStart w:id="1" w:name="_Toc279142303"/>
      <w:r>
        <w:t>NEGATIVE PHILOSOPHY</w:t>
      </w:r>
      <w:bookmarkEnd w:id="1"/>
    </w:p>
    <w:p w14:paraId="28F6FD2A" w14:textId="77777777" w:rsidR="002840A5" w:rsidRDefault="002840A5" w:rsidP="002840A5">
      <w:pPr>
        <w:pStyle w:val="Contention2"/>
      </w:pPr>
      <w:bookmarkStart w:id="2" w:name="_Toc279142304"/>
      <w:r>
        <w:t xml:space="preserve">We have to balance both privacy and security.  Just </w:t>
      </w:r>
      <w:proofErr w:type="gramStart"/>
      <w:r>
        <w:t>saying</w:t>
      </w:r>
      <w:proofErr w:type="gramEnd"/>
      <w:r>
        <w:t xml:space="preserve"> “we uphold privacy” doesn’t justify an AFF ballot</w:t>
      </w:r>
      <w:bookmarkEnd w:id="2"/>
    </w:p>
    <w:p w14:paraId="265AFDD7" w14:textId="3248EB34" w:rsidR="002840A5" w:rsidRPr="00B517E5" w:rsidRDefault="002840A5" w:rsidP="002840A5">
      <w:pPr>
        <w:pStyle w:val="Citation3"/>
      </w:pPr>
      <w:proofErr w:type="spellStart"/>
      <w:proofErr w:type="gramStart"/>
      <w:r w:rsidRPr="00B517E5">
        <w:rPr>
          <w:u w:val="single"/>
        </w:rPr>
        <w:t>Lanny</w:t>
      </w:r>
      <w:proofErr w:type="spellEnd"/>
      <w:r w:rsidRPr="00B517E5">
        <w:rPr>
          <w:u w:val="single"/>
        </w:rPr>
        <w:t xml:space="preserve"> Davis 2013.</w:t>
      </w:r>
      <w:proofErr w:type="gramEnd"/>
      <w:r>
        <w:t xml:space="preserve"> (</w:t>
      </w:r>
      <w:proofErr w:type="gramStart"/>
      <w:r>
        <w:t>attorney</w:t>
      </w:r>
      <w:proofErr w:type="gramEnd"/>
      <w:r>
        <w:t xml:space="preserve">; </w:t>
      </w:r>
      <w:r w:rsidRPr="00B517E5">
        <w:t xml:space="preserve"> principal in the Washington, D.C., law firm of </w:t>
      </w:r>
      <w:proofErr w:type="spellStart"/>
      <w:r w:rsidRPr="00B517E5">
        <w:t>Lanny</w:t>
      </w:r>
      <w:proofErr w:type="spellEnd"/>
      <w:r w:rsidRPr="00B517E5">
        <w:t xml:space="preserve"> J. Davis &amp; </w:t>
      </w:r>
      <w:proofErr w:type="spellStart"/>
      <w:r w:rsidRPr="00B517E5">
        <w:t>Associates</w:t>
      </w:r>
      <w:r>
        <w:t>;</w:t>
      </w:r>
      <w:r w:rsidRPr="00B517E5">
        <w:t>served</w:t>
      </w:r>
      <w:proofErr w:type="spellEnd"/>
      <w:r w:rsidRPr="00B517E5">
        <w:t xml:space="preserve"> as Pres</w:t>
      </w:r>
      <w:r>
        <w:t xml:space="preserve">ident Clinton’s Special Counsel) 7 June 2013 We Need Protection From Terrorism AND Intrusion on Privacy Rights </w:t>
      </w:r>
      <w:hyperlink r:id="rId10" w:history="1">
        <w:r w:rsidR="00244F3C" w:rsidRPr="00A56061">
          <w:rPr>
            <w:rStyle w:val="Hyperlink"/>
          </w:rPr>
          <w:t>http://www.newsmax.com/LannyDavis/Government-Terror-Privacy-NSA/2013/06/07/id/508683#ixzz34v8QPlzt</w:t>
        </w:r>
      </w:hyperlink>
      <w:r w:rsidR="00244F3C">
        <w:rPr>
          <w:u w:color="7F7F7F"/>
        </w:rPr>
        <w:t xml:space="preserve"> </w:t>
      </w:r>
      <w:r w:rsidR="00244F3C">
        <w:rPr>
          <w:rStyle w:val="Hyperlink"/>
          <w:color w:val="000000"/>
        </w:rPr>
        <w:t xml:space="preserve"> </w:t>
      </w:r>
    </w:p>
    <w:p w14:paraId="0BC8E2D2" w14:textId="77777777" w:rsidR="002840A5" w:rsidRDefault="002840A5" w:rsidP="002840A5">
      <w:pPr>
        <w:pStyle w:val="Evidence"/>
      </w:pPr>
      <w:r w:rsidRPr="00B517E5">
        <w:t>But on the other hand — and there is another hand, despite the absolutist, sanctimonious voices I heard last night on television, speaking as if there is only one value, privacy rights, to be considered here — we also need protection from the murderers and sociopaths who celebrate death rather than life and were responsible for 9/11 and the Boston Marathon murders.</w:t>
      </w:r>
      <w:r>
        <w:t xml:space="preserve"> </w:t>
      </w:r>
      <w:r w:rsidRPr="00B517E5">
        <w:t> The solution is not, and will never be, perfect. But as Abraham Lincoln noted when he suspended habeas corpus briefly during the Civil War, “the Constitution is not a suicide pact.”</w:t>
      </w:r>
      <w:r>
        <w:t xml:space="preserve"> </w:t>
      </w:r>
      <w:r w:rsidRPr="00B517E5">
        <w:t> We need — we can have — a government that protects our civil liberties and privacy rights and protects our families from evil terrorists.</w:t>
      </w:r>
      <w:r>
        <w:t xml:space="preserve"> </w:t>
      </w:r>
      <w:r w:rsidRPr="00B517E5">
        <w:t>We must have both.</w:t>
      </w:r>
    </w:p>
    <w:p w14:paraId="34B2513B" w14:textId="77777777" w:rsidR="002840A5" w:rsidRDefault="002840A5" w:rsidP="002840A5">
      <w:pPr>
        <w:pStyle w:val="Contention2"/>
      </w:pPr>
      <w:bookmarkStart w:id="3" w:name="_Toc279142305"/>
      <w:r>
        <w:t>Status Quo meets the balance:  NSL is a constitutional tool that upholds security</w:t>
      </w:r>
      <w:bookmarkEnd w:id="3"/>
    </w:p>
    <w:p w14:paraId="37E30E17" w14:textId="65E7BD02"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11" w:history="1">
        <w:r w:rsidR="00244F3C" w:rsidRPr="00A56061">
          <w:rPr>
            <w:rStyle w:val="Hyperlink"/>
          </w:rPr>
          <w:t>http://www.americanbar.org/groups/public_services/law_national_security/patriot_debates2/the_book_online/ch5/ch5_ess2.html</w:t>
        </w:r>
      </w:hyperlink>
      <w:r w:rsidR="00244F3C">
        <w:t xml:space="preserve"> </w:t>
      </w:r>
    </w:p>
    <w:p w14:paraId="1CA0510A" w14:textId="77777777" w:rsidR="002840A5" w:rsidRDefault="002840A5" w:rsidP="002840A5">
      <w:pPr>
        <w:pStyle w:val="Evidence"/>
      </w:pPr>
      <w:r>
        <w:t>Although NSLs will no doubt remain the national security tool that critics love to hate, when one focuses on reality rather than on hyperbole, it is clear that the NSL is a constitutional tool that is reasonably used and is necessary in national security investigations to maintain the safety and security of the American people.</w:t>
      </w:r>
    </w:p>
    <w:p w14:paraId="4D51A773" w14:textId="77777777" w:rsidR="002840A5" w:rsidRDefault="002840A5" w:rsidP="002840A5">
      <w:pPr>
        <w:pStyle w:val="Contention2"/>
      </w:pPr>
      <w:bookmarkStart w:id="4" w:name="_Toc279142306"/>
      <w:r>
        <w:t>Status Quo meets the balance: Standards for NSL are reasonable considering the national security implications</w:t>
      </w:r>
      <w:bookmarkEnd w:id="4"/>
    </w:p>
    <w:p w14:paraId="5091D72B" w14:textId="62F09506"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12" w:history="1">
        <w:r w:rsidR="00244F3C" w:rsidRPr="00A56061">
          <w:rPr>
            <w:rStyle w:val="Hyperlink"/>
          </w:rPr>
          <w:t>http://www.americanbar.org/groups/public_services/law_national_security/patriot_debates2/the_book_online/ch5/ch5_ess2.html</w:t>
        </w:r>
      </w:hyperlink>
      <w:r w:rsidR="00244F3C">
        <w:t xml:space="preserve"> </w:t>
      </w:r>
    </w:p>
    <w:p w14:paraId="05F87826" w14:textId="77777777" w:rsidR="002840A5" w:rsidRPr="00B517E5" w:rsidRDefault="002840A5" w:rsidP="002840A5">
      <w:pPr>
        <w:pStyle w:val="Evidence"/>
      </w:pPr>
      <w:r>
        <w:rPr>
          <w:shd w:val="clear" w:color="auto" w:fill="FFFFFF"/>
        </w:rPr>
        <w:t> Second, putting aside the hyperbole about the inherent sensitivity of the information</w:t>
      </w:r>
      <w:r w:rsidRPr="00A94901">
        <w:rPr>
          <w:u w:val="single"/>
          <w:shd w:val="clear" w:color="auto" w:fill="FFFFFF"/>
        </w:rPr>
        <w:t>, to consider whether the NSL standard is too low, one must consider whether the standard required in a national security investigation is in sync or out of sync with the standard that exists to get the exact same information in other contexts. The fact is that information obtainable with an NSL is also obtainable with a grand jury subpoena in any criminal investigation and with an administrative subpoena in narcotics investigations</w:t>
      </w:r>
      <w:r>
        <w:rPr>
          <w:shd w:val="clear" w:color="auto" w:fill="FFFFFF"/>
        </w:rPr>
        <w:t xml:space="preserve">.  Although such investigations are obviously important, </w:t>
      </w:r>
      <w:r w:rsidRPr="00A94901">
        <w:rPr>
          <w:u w:val="single"/>
          <w:shd w:val="clear" w:color="auto" w:fill="FFFFFF"/>
        </w:rPr>
        <w:t>their purpose is to investigate crimes that generally pose far less danger to public safety and the national security than is posed by the targets of national security investigations</w:t>
      </w:r>
      <w:r>
        <w:rPr>
          <w:shd w:val="clear" w:color="auto" w:fill="FFFFFF"/>
        </w:rPr>
        <w:t xml:space="preserve">. The standard for issuance of a grand jury or administrative subpoena is that the information sought must be relevant to the crime being investigated.  </w:t>
      </w:r>
      <w:r w:rsidRPr="00A94901">
        <w:rPr>
          <w:u w:val="single"/>
          <w:shd w:val="clear" w:color="auto" w:fill="FFFFFF"/>
        </w:rPr>
        <w:t>It would be exceedingly odd public policy to make it harder for investigators who are investigating threats to the national security to get basic transactional data than it is for investigators who are investigating routine federal crimes to get the exact same information.</w:t>
      </w:r>
    </w:p>
    <w:p w14:paraId="2825F005" w14:textId="77777777" w:rsidR="002840A5" w:rsidRDefault="002840A5" w:rsidP="002840A5">
      <w:pPr>
        <w:pStyle w:val="Contention1"/>
      </w:pPr>
      <w:bookmarkStart w:id="5" w:name="_Toc279142307"/>
      <w:r>
        <w:lastRenderedPageBreak/>
        <w:t>EXTRA-TOPICALITY</w:t>
      </w:r>
      <w:bookmarkEnd w:id="5"/>
    </w:p>
    <w:p w14:paraId="5275BBB8" w14:textId="77777777" w:rsidR="002840A5" w:rsidRDefault="002840A5" w:rsidP="002840A5">
      <w:pPr>
        <w:pStyle w:val="Contention2"/>
      </w:pPr>
      <w:bookmarkStart w:id="6" w:name="_Toc279142308"/>
      <w:r>
        <w:t>1.  80% of the plan is beyond the resolution.</w:t>
      </w:r>
      <w:bookmarkEnd w:id="6"/>
    </w:p>
    <w:p w14:paraId="09AF5BC3" w14:textId="77777777" w:rsidR="002840A5" w:rsidRDefault="002840A5" w:rsidP="002840A5">
      <w:pPr>
        <w:pStyle w:val="Contention2"/>
      </w:pPr>
      <w:bookmarkStart w:id="7" w:name="_Toc279142309"/>
      <w:r>
        <w:t>Link:  4 of the 5 laws related to NSLs are not about electronic communication surveillance.  They’re about the government obtaining records from banks, credit, and travel agencies.</w:t>
      </w:r>
      <w:bookmarkEnd w:id="7"/>
    </w:p>
    <w:p w14:paraId="275FFA1E" w14:textId="77777777" w:rsidR="002840A5" w:rsidRPr="00B90B86" w:rsidRDefault="002840A5" w:rsidP="002840A5">
      <w:pPr>
        <w:pStyle w:val="Constructive"/>
        <w:spacing w:line="240" w:lineRule="auto"/>
        <w:rPr>
          <w:b/>
        </w:rPr>
      </w:pPr>
      <w:r>
        <w:rPr>
          <w:b/>
        </w:rPr>
        <w:t xml:space="preserve">Congressional Research Service in 2014 published a chart that we’ll make available to the Affirmative on request.  The chart is “Profile of the Current NSL Statues.”  It lists the 5 laws covered by National Security Letters, along with their “addressee,” that is, the one who receives the letter and has to provide the information to the government.   The first one is 18 U.S.C. 2709, and the addressee is “Communications providers.”  The other 4 are: “12 U.S.C. 3414” addressed to “financial institutions”; “15 U.S.C. 1681u, addressed to “consumer credit agencies”; “15 U.S.C. 1681v,” addressed to “consumer credit agencies”; and finally “50 U.S.C. 3162,” addressed to “financial institutions, consumer credit agencies, travel agencies.” </w:t>
      </w:r>
    </w:p>
    <w:p w14:paraId="280B262B" w14:textId="677CBBB6" w:rsidR="002840A5" w:rsidRDefault="002840A5" w:rsidP="002840A5">
      <w:pPr>
        <w:pStyle w:val="Citation3"/>
      </w:pPr>
      <w:r w:rsidRPr="00114C0C">
        <w:rPr>
          <w:u w:val="single"/>
        </w:rPr>
        <w:t>Charles Doyle 2014</w:t>
      </w:r>
      <w:r>
        <w:t xml:space="preserve">. (Senior Specialist in American Public </w:t>
      </w:r>
      <w:proofErr w:type="gramStart"/>
      <w:r>
        <w:t>Law  with</w:t>
      </w:r>
      <w:proofErr w:type="gramEnd"/>
      <w:r>
        <w:t xml:space="preserve"> Congressional Research Service) National Security Letters in Foreign Intelligence Investigations: A Glimpse at the Legal Background, January 3, 2014 </w:t>
      </w:r>
      <w:hyperlink r:id="rId13" w:history="1">
        <w:r w:rsidR="00244F3C" w:rsidRPr="00A56061">
          <w:rPr>
            <w:rStyle w:val="Hyperlink"/>
          </w:rPr>
          <w:t>http://fas.org/sgp/crs/intel/RS22406.pdf</w:t>
        </w:r>
      </w:hyperlink>
      <w:r w:rsidR="00244F3C">
        <w:t xml:space="preserve"> </w:t>
      </w:r>
    </w:p>
    <w:p w14:paraId="4EC40E38" w14:textId="77777777" w:rsidR="002840A5" w:rsidRDefault="002840A5" w:rsidP="002840A5">
      <w:pPr>
        <w:pStyle w:val="Evidence"/>
      </w:pPr>
      <w:r>
        <w:t>The following table summarizes the differences among the five NSL sections: Section 1114(a)(5) of the Right to Financial Privacy Act (12 U.S.C. 3414); Sections 626 and 627 of the Fair Credit Reporting Act (15 U.S.C. 1681u, 1691v); Section 2709 of Title 18 of the United States Code (18 U.S.C. 2709); and Section 802 of the National Security Act (50 U.S.C. 3162).</w:t>
      </w:r>
    </w:p>
    <w:p w14:paraId="526268F0" w14:textId="77777777" w:rsidR="002840A5" w:rsidRDefault="002840A5" w:rsidP="002840A5">
      <w:pPr>
        <w:pStyle w:val="Evidence"/>
      </w:pPr>
      <w:r>
        <w:rPr>
          <w:noProof/>
          <w:lang w:eastAsia="en-US"/>
        </w:rPr>
        <w:drawing>
          <wp:inline distT="0" distB="0" distL="0" distR="0" wp14:anchorId="0A0B2DBD" wp14:editId="69E65A1D">
            <wp:extent cx="4370070" cy="456568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378254" cy="4574237"/>
                    </a:xfrm>
                    <a:prstGeom prst="rect">
                      <a:avLst/>
                    </a:prstGeom>
                    <a:noFill/>
                    <a:ln w="9525">
                      <a:noFill/>
                      <a:miter lim="800000"/>
                      <a:headEnd/>
                      <a:tailEnd/>
                    </a:ln>
                  </pic:spPr>
                </pic:pic>
              </a:graphicData>
            </a:graphic>
          </wp:inline>
        </w:drawing>
      </w:r>
    </w:p>
    <w:p w14:paraId="24609CED" w14:textId="77777777" w:rsidR="002840A5" w:rsidRDefault="002840A5" w:rsidP="002840A5">
      <w:pPr>
        <w:pStyle w:val="Contention2"/>
      </w:pPr>
      <w:bookmarkStart w:id="8" w:name="_Toc279142310"/>
      <w:r>
        <w:lastRenderedPageBreak/>
        <w:t>Impact:  Out of bounds.</w:t>
      </w:r>
      <w:bookmarkEnd w:id="8"/>
    </w:p>
    <w:p w14:paraId="2970EC7E" w14:textId="77777777" w:rsidR="002840A5" w:rsidRDefault="002840A5" w:rsidP="002840A5">
      <w:pPr>
        <w:pStyle w:val="Constructive"/>
      </w:pPr>
      <w:r>
        <w:t xml:space="preserve">Just like a football player who catches the ball out of bounds, what looks like a touchdown catch may have a lot of skill and be a very talented athletic </w:t>
      </w:r>
      <w:proofErr w:type="gramStart"/>
      <w:r>
        <w:t>play.</w:t>
      </w:r>
      <w:proofErr w:type="gramEnd"/>
      <w:r>
        <w:t xml:space="preserve">  But it can’t score.  An affirmative plan that goes out of bounds may be a wonderful plan.  But if most of it is out of bounds, it can’t win.  We all agreed to stay within the resolution when we agreed to debate here today.  To encourage Affirmative debaters to stay within the boundaries and keep their agreement, you should award a Negative ballot.</w:t>
      </w:r>
    </w:p>
    <w:p w14:paraId="6C2D60AF" w14:textId="77777777" w:rsidR="002840A5" w:rsidRDefault="002840A5" w:rsidP="002840A5">
      <w:pPr>
        <w:pStyle w:val="Contention1"/>
      </w:pPr>
      <w:bookmarkStart w:id="9" w:name="_Toc279142311"/>
      <w:r>
        <w:t>INHERENCY</w:t>
      </w:r>
      <w:bookmarkEnd w:id="9"/>
    </w:p>
    <w:p w14:paraId="23E2FB48" w14:textId="77777777" w:rsidR="002840A5" w:rsidRDefault="002840A5" w:rsidP="002840A5">
      <w:pPr>
        <w:pStyle w:val="Contention2"/>
      </w:pPr>
      <w:bookmarkStart w:id="10" w:name="_Toc279142312"/>
      <w:r>
        <w:t>Reforms mostly completed as of Aug. 2014:  FBI has done 23 of 28 NSL reforms recommended by the Inspector General</w:t>
      </w:r>
      <w:bookmarkEnd w:id="10"/>
      <w:r>
        <w:t xml:space="preserve"> </w:t>
      </w:r>
    </w:p>
    <w:p w14:paraId="55CECD99" w14:textId="299388A2" w:rsidR="002840A5" w:rsidRDefault="002840A5" w:rsidP="002840A5">
      <w:pPr>
        <w:pStyle w:val="Citation3"/>
      </w:pPr>
      <w:r w:rsidRPr="00A267CE">
        <w:rPr>
          <w:u w:val="single"/>
        </w:rPr>
        <w:t xml:space="preserve">Office of the Inspector General, US </w:t>
      </w:r>
      <w:proofErr w:type="spellStart"/>
      <w:r w:rsidRPr="00A267CE">
        <w:rPr>
          <w:u w:val="single"/>
        </w:rPr>
        <w:t>Dept</w:t>
      </w:r>
      <w:proofErr w:type="spellEnd"/>
      <w:r w:rsidRPr="00A267CE">
        <w:rPr>
          <w:u w:val="single"/>
        </w:rPr>
        <w:t xml:space="preserve"> of Justice</w:t>
      </w:r>
      <w:r>
        <w:rPr>
          <w:u w:val="single"/>
        </w:rPr>
        <w:t>, August</w:t>
      </w:r>
      <w:r w:rsidRPr="00A267CE">
        <w:rPr>
          <w:u w:val="single"/>
        </w:rPr>
        <w:t xml:space="preserve"> 2014</w:t>
      </w:r>
      <w:r>
        <w:t>. (</w:t>
      </w:r>
      <w:proofErr w:type="gramStart"/>
      <w:r>
        <w:t>the</w:t>
      </w:r>
      <w:proofErr w:type="gramEnd"/>
      <w:r>
        <w:t xml:space="preserve"> Inspector General’s office conducts audits and investigations to find problems and make recommendations internally within the federal government) August 2014 A Review of the Federal Bureau of Investigation’s Use of National Security Letters: Assessment of Progress in Implementing Recommendations and Examination of Use in 2007 through 2009 </w:t>
      </w:r>
      <w:hyperlink r:id="rId15" w:history="1">
        <w:r w:rsidR="00244F3C" w:rsidRPr="00A56061">
          <w:rPr>
            <w:rStyle w:val="Hyperlink"/>
          </w:rPr>
          <w:t>http://www.justice.gov/oig/reports/2014/s1408.pdf</w:t>
        </w:r>
      </w:hyperlink>
      <w:r w:rsidR="00244F3C">
        <w:t xml:space="preserve"> </w:t>
      </w:r>
    </w:p>
    <w:p w14:paraId="79B25B9E" w14:textId="77777777" w:rsidR="002840A5" w:rsidRDefault="002840A5" w:rsidP="002840A5">
      <w:pPr>
        <w:pStyle w:val="Evidence"/>
      </w:pPr>
      <w:r>
        <w:rPr>
          <w:noProof/>
          <w:lang w:eastAsia="en-US"/>
        </w:rPr>
        <w:drawing>
          <wp:inline distT="0" distB="0" distL="0" distR="0" wp14:anchorId="451BFC0D" wp14:editId="5DA15FAE">
            <wp:extent cx="4476750" cy="1157907"/>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4476750" cy="1157907"/>
                    </a:xfrm>
                    <a:prstGeom prst="rect">
                      <a:avLst/>
                    </a:prstGeom>
                    <a:noFill/>
                    <a:ln w="9525">
                      <a:noFill/>
                      <a:miter lim="800000"/>
                      <a:headEnd/>
                      <a:tailEnd/>
                    </a:ln>
                  </pic:spPr>
                </pic:pic>
              </a:graphicData>
            </a:graphic>
          </wp:inline>
        </w:drawing>
      </w:r>
    </w:p>
    <w:p w14:paraId="4A71B1F6" w14:textId="77777777" w:rsidR="002840A5" w:rsidRDefault="002840A5" w:rsidP="002840A5">
      <w:pPr>
        <w:pStyle w:val="Contention2"/>
      </w:pPr>
      <w:bookmarkStart w:id="11" w:name="_Toc279142313"/>
      <w:r>
        <w:t>Abuses from 10 years ago have been corrected with 2 stages of reform initiated by the Inspector General</w:t>
      </w:r>
      <w:bookmarkEnd w:id="11"/>
    </w:p>
    <w:p w14:paraId="06C5040F" w14:textId="049DCB6E" w:rsidR="002840A5" w:rsidRDefault="002840A5" w:rsidP="002840A5">
      <w:pPr>
        <w:pStyle w:val="Citation3"/>
      </w:pPr>
      <w:r w:rsidRPr="00A267CE">
        <w:rPr>
          <w:u w:val="single"/>
        </w:rPr>
        <w:t xml:space="preserve">Office of the Inspector General, US </w:t>
      </w:r>
      <w:proofErr w:type="spellStart"/>
      <w:r w:rsidRPr="00A267CE">
        <w:rPr>
          <w:u w:val="single"/>
        </w:rPr>
        <w:t>Dept</w:t>
      </w:r>
      <w:proofErr w:type="spellEnd"/>
      <w:r w:rsidRPr="00A267CE">
        <w:rPr>
          <w:u w:val="single"/>
        </w:rPr>
        <w:t xml:space="preserve"> of Justice</w:t>
      </w:r>
      <w:r>
        <w:rPr>
          <w:u w:val="single"/>
        </w:rPr>
        <w:t>, August</w:t>
      </w:r>
      <w:r w:rsidRPr="00A267CE">
        <w:rPr>
          <w:u w:val="single"/>
        </w:rPr>
        <w:t xml:space="preserve"> 2014</w:t>
      </w:r>
      <w:r>
        <w:t>. (</w:t>
      </w:r>
      <w:proofErr w:type="gramStart"/>
      <w:r>
        <w:t>the</w:t>
      </w:r>
      <w:proofErr w:type="gramEnd"/>
      <w:r>
        <w:t xml:space="preserve"> Inspector General’s office conducts audits and investigations to find problems and make recommendations internally within the federal government) August 2014 A Review of the Federal Bureau of Investigation’s Use of National Security Letters: Assessment of Progress in Implementing Recommendations and Examination of Use in 2007 through 2009 </w:t>
      </w:r>
      <w:hyperlink r:id="rId17" w:history="1">
        <w:r w:rsidR="00244F3C" w:rsidRPr="00A56061">
          <w:rPr>
            <w:rStyle w:val="Hyperlink"/>
          </w:rPr>
          <w:t>http://www.justice.gov/oig/reports/2014/s1408.pdf</w:t>
        </w:r>
      </w:hyperlink>
      <w:r w:rsidR="00244F3C">
        <w:t xml:space="preserve"> </w:t>
      </w:r>
    </w:p>
    <w:p w14:paraId="4F39772F" w14:textId="77777777" w:rsidR="002840A5" w:rsidRDefault="002840A5" w:rsidP="002840A5">
      <w:pPr>
        <w:pStyle w:val="Evidence"/>
      </w:pPr>
      <w:r w:rsidRPr="00CD75D8">
        <w:rPr>
          <w:noProof/>
          <w:lang w:eastAsia="en-US"/>
        </w:rPr>
        <w:drawing>
          <wp:inline distT="0" distB="0" distL="0" distR="0" wp14:anchorId="12E071B4" wp14:editId="4776B18D">
            <wp:extent cx="3768090" cy="2932102"/>
            <wp:effectExtent l="19050" t="0" r="381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771166" cy="2934496"/>
                    </a:xfrm>
                    <a:prstGeom prst="rect">
                      <a:avLst/>
                    </a:prstGeom>
                    <a:noFill/>
                    <a:ln w="9525">
                      <a:noFill/>
                      <a:miter lim="800000"/>
                      <a:headEnd/>
                      <a:tailEnd/>
                    </a:ln>
                  </pic:spPr>
                </pic:pic>
              </a:graphicData>
            </a:graphic>
          </wp:inline>
        </w:drawing>
      </w:r>
    </w:p>
    <w:p w14:paraId="6A9E27B4" w14:textId="77777777" w:rsidR="002840A5" w:rsidRDefault="002840A5" w:rsidP="002840A5">
      <w:pPr>
        <w:pStyle w:val="Contention2"/>
      </w:pPr>
      <w:bookmarkStart w:id="12" w:name="_Toc279142314"/>
      <w:r>
        <w:lastRenderedPageBreak/>
        <w:t>Errors and abuses are solved by new systems and training programs</w:t>
      </w:r>
      <w:bookmarkEnd w:id="12"/>
    </w:p>
    <w:p w14:paraId="5066183B" w14:textId="3B4FFA2D" w:rsidR="002840A5" w:rsidRDefault="002840A5" w:rsidP="002840A5">
      <w:pPr>
        <w:pStyle w:val="Citation3"/>
      </w:pPr>
      <w:r w:rsidRPr="00A267CE">
        <w:rPr>
          <w:u w:val="single"/>
        </w:rPr>
        <w:t xml:space="preserve">Office of the Inspector General, US </w:t>
      </w:r>
      <w:proofErr w:type="spellStart"/>
      <w:r w:rsidRPr="00A267CE">
        <w:rPr>
          <w:u w:val="single"/>
        </w:rPr>
        <w:t>Dept</w:t>
      </w:r>
      <w:proofErr w:type="spellEnd"/>
      <w:r w:rsidRPr="00A267CE">
        <w:rPr>
          <w:u w:val="single"/>
        </w:rPr>
        <w:t xml:space="preserve"> of Justice</w:t>
      </w:r>
      <w:r>
        <w:rPr>
          <w:u w:val="single"/>
        </w:rPr>
        <w:t>, August</w:t>
      </w:r>
      <w:r w:rsidRPr="00A267CE">
        <w:rPr>
          <w:u w:val="single"/>
        </w:rPr>
        <w:t xml:space="preserve"> 2014</w:t>
      </w:r>
      <w:r>
        <w:t>. (</w:t>
      </w:r>
      <w:proofErr w:type="gramStart"/>
      <w:r>
        <w:t>the</w:t>
      </w:r>
      <w:proofErr w:type="gramEnd"/>
      <w:r>
        <w:t xml:space="preserve"> Inspector General’s office conducts audits and investigations to find problems and make recommendations internally within the federal government) August 2014 A Review of the Federal Bureau of Investigation’s Use of National Security Letters: Assessment of Progress in Implementing Recommendations and Examination of Use in 2007 through 2009 </w:t>
      </w:r>
      <w:hyperlink r:id="rId19" w:history="1">
        <w:r w:rsidR="00244F3C" w:rsidRPr="00A56061">
          <w:rPr>
            <w:rStyle w:val="Hyperlink"/>
          </w:rPr>
          <w:t>http://www.justice.gov/oig/reports/2014/s1408.pdf</w:t>
        </w:r>
      </w:hyperlink>
      <w:r w:rsidR="00244F3C">
        <w:t xml:space="preserve"> </w:t>
      </w:r>
    </w:p>
    <w:p w14:paraId="77BC623A" w14:textId="77777777" w:rsidR="002840A5" w:rsidRDefault="002840A5" w:rsidP="002840A5">
      <w:pPr>
        <w:pStyle w:val="Evidence"/>
      </w:pPr>
      <w:r>
        <w:rPr>
          <w:noProof/>
          <w:lang w:eastAsia="en-US"/>
        </w:rPr>
        <w:drawing>
          <wp:inline distT="0" distB="0" distL="0" distR="0" wp14:anchorId="2F8639AD" wp14:editId="4B5F7851">
            <wp:extent cx="4263390" cy="1880085"/>
            <wp:effectExtent l="19050" t="0" r="381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4263390" cy="1880085"/>
                    </a:xfrm>
                    <a:prstGeom prst="rect">
                      <a:avLst/>
                    </a:prstGeom>
                    <a:noFill/>
                    <a:ln w="9525">
                      <a:noFill/>
                      <a:miter lim="800000"/>
                      <a:headEnd/>
                      <a:tailEnd/>
                    </a:ln>
                  </pic:spPr>
                </pic:pic>
              </a:graphicData>
            </a:graphic>
          </wp:inline>
        </w:drawing>
      </w:r>
    </w:p>
    <w:p w14:paraId="11114043" w14:textId="77777777" w:rsidR="002840A5" w:rsidRDefault="002840A5" w:rsidP="002840A5">
      <w:pPr>
        <w:pStyle w:val="Contention2"/>
      </w:pPr>
      <w:bookmarkStart w:id="13" w:name="_Toc279142315"/>
      <w:r>
        <w:t>Internet providers are refusing to provide data for NSLs</w:t>
      </w:r>
      <w:bookmarkEnd w:id="13"/>
    </w:p>
    <w:p w14:paraId="5DDB011C" w14:textId="69FF1A0A" w:rsidR="002840A5" w:rsidRDefault="002840A5" w:rsidP="002840A5">
      <w:pPr>
        <w:pStyle w:val="Citation3"/>
      </w:pPr>
      <w:r w:rsidRPr="00A267CE">
        <w:rPr>
          <w:u w:val="single"/>
        </w:rPr>
        <w:t xml:space="preserve">Office of the Inspector General, US </w:t>
      </w:r>
      <w:proofErr w:type="spellStart"/>
      <w:r w:rsidRPr="00A267CE">
        <w:rPr>
          <w:u w:val="single"/>
        </w:rPr>
        <w:t>Dept</w:t>
      </w:r>
      <w:proofErr w:type="spellEnd"/>
      <w:r w:rsidRPr="00A267CE">
        <w:rPr>
          <w:u w:val="single"/>
        </w:rPr>
        <w:t xml:space="preserve"> of Justice</w:t>
      </w:r>
      <w:r>
        <w:rPr>
          <w:u w:val="single"/>
        </w:rPr>
        <w:t>, August</w:t>
      </w:r>
      <w:r w:rsidRPr="00A267CE">
        <w:rPr>
          <w:u w:val="single"/>
        </w:rPr>
        <w:t xml:space="preserve"> 2014</w:t>
      </w:r>
      <w:r>
        <w:t>. (</w:t>
      </w:r>
      <w:proofErr w:type="gramStart"/>
      <w:r>
        <w:t>the</w:t>
      </w:r>
      <w:proofErr w:type="gramEnd"/>
      <w:r>
        <w:t xml:space="preserve"> Inspector General’s office conducts audits and investigations to find problems and make recommendations internally within the federal government) August 2014 A Review of the Federal Bureau of Investigation’s Use of National Security Letters: Assessment of Progress in Implementing Recommendations and Examination of Use in 2007 through 2009 </w:t>
      </w:r>
      <w:hyperlink r:id="rId21" w:history="1">
        <w:r w:rsidR="00244F3C" w:rsidRPr="00A56061">
          <w:rPr>
            <w:rStyle w:val="Hyperlink"/>
          </w:rPr>
          <w:t>http://www.justice.gov/oig/reports/2014/s1408.pdf</w:t>
        </w:r>
      </w:hyperlink>
      <w:r w:rsidR="00244F3C">
        <w:t xml:space="preserve"> </w:t>
      </w:r>
    </w:p>
    <w:p w14:paraId="35C686E9" w14:textId="77777777" w:rsidR="002840A5" w:rsidRDefault="002840A5" w:rsidP="002840A5">
      <w:pPr>
        <w:pStyle w:val="Evidence"/>
      </w:pPr>
      <w:r>
        <w:rPr>
          <w:noProof/>
          <w:lang w:eastAsia="en-US"/>
        </w:rPr>
        <w:drawing>
          <wp:inline distT="0" distB="0" distL="0" distR="0" wp14:anchorId="2897866E" wp14:editId="580CFCFB">
            <wp:extent cx="4278630" cy="1333967"/>
            <wp:effectExtent l="19050" t="0" r="762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4282181" cy="1335074"/>
                    </a:xfrm>
                    <a:prstGeom prst="rect">
                      <a:avLst/>
                    </a:prstGeom>
                    <a:noFill/>
                    <a:ln w="9525">
                      <a:noFill/>
                      <a:miter lim="800000"/>
                      <a:headEnd/>
                      <a:tailEnd/>
                    </a:ln>
                  </pic:spPr>
                </pic:pic>
              </a:graphicData>
            </a:graphic>
          </wp:inline>
        </w:drawing>
      </w:r>
    </w:p>
    <w:p w14:paraId="1C32562A" w14:textId="77777777" w:rsidR="002840A5" w:rsidRDefault="002840A5" w:rsidP="002840A5">
      <w:pPr>
        <w:pStyle w:val="Contention2"/>
      </w:pPr>
      <w:bookmarkStart w:id="14" w:name="_Toc279142316"/>
      <w:r>
        <w:t>Lots of controls are now in place to regulate NSLs, ensuring they are used responsibly and subject to audit &amp; review</w:t>
      </w:r>
      <w:bookmarkEnd w:id="14"/>
    </w:p>
    <w:p w14:paraId="5220419A" w14:textId="4D6A55E0"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23" w:history="1">
        <w:r w:rsidR="00244F3C" w:rsidRPr="00A56061">
          <w:rPr>
            <w:rStyle w:val="Hyperlink"/>
          </w:rPr>
          <w:t>http://www.americanbar.org/groups/public_services/law_national_security/patriot_debates2/the_book_online/ch5/ch5_ess2.html</w:t>
        </w:r>
      </w:hyperlink>
      <w:r w:rsidR="00244F3C">
        <w:t xml:space="preserve"> </w:t>
      </w:r>
    </w:p>
    <w:p w14:paraId="3A81A190" w14:textId="77777777" w:rsidR="002840A5" w:rsidRPr="006B626E" w:rsidRDefault="002840A5" w:rsidP="002840A5">
      <w:pPr>
        <w:pStyle w:val="Evidence"/>
      </w:pPr>
      <w:r w:rsidRPr="006B626E">
        <w:rPr>
          <w:szCs w:val="14"/>
          <w:shd w:val="clear" w:color="auto" w:fill="FFFFFF"/>
        </w:rPr>
        <w:t>While the German-Richardson essay focuses on the negative findings of the IG, it studiously avoids discussing the actual controls that are in place—and have been in place since shortly after the 2007 IG report—to avoid the type of errors discovered by the IG. Those controls are important because they collectively operate to ensure that the FBI is using the NSL authority responsibly and appropriately and in a way that is subject to audit and review.</w:t>
      </w:r>
      <w:r w:rsidRPr="006B626E">
        <w:rPr>
          <w:szCs w:val="14"/>
        </w:rPr>
        <w:br/>
      </w:r>
      <w:r w:rsidRPr="006B626E">
        <w:rPr>
          <w:szCs w:val="14"/>
          <w:shd w:val="clear" w:color="auto" w:fill="FFFFFF"/>
        </w:rPr>
        <w:t>    First, by statute the FBI can use NSLs only in predicated national security investigations. The Attorney General has established the standards that must be met to commence a predicated national security investigation, and the predication for every full investigation of a U.S. person must be submitted to the Department of Justice for review.28 The authority to conduct national security investigations is further controlled through internal FBI policy that establishes internal controls regarding opening predicated investigations.</w:t>
      </w:r>
    </w:p>
    <w:p w14:paraId="1A1FEB61" w14:textId="77777777" w:rsidR="002840A5" w:rsidRDefault="002840A5" w:rsidP="002840A5">
      <w:pPr>
        <w:pStyle w:val="Contention1"/>
      </w:pPr>
      <w:bookmarkStart w:id="15" w:name="_Toc279142317"/>
      <w:r>
        <w:lastRenderedPageBreak/>
        <w:t>HARMS / SIGNIFICANCE</w:t>
      </w:r>
      <w:bookmarkEnd w:id="15"/>
    </w:p>
    <w:p w14:paraId="5595A873" w14:textId="77777777" w:rsidR="002840A5" w:rsidRDefault="002840A5" w:rsidP="002840A5">
      <w:pPr>
        <w:pStyle w:val="Contention2"/>
      </w:pPr>
      <w:bookmarkStart w:id="16" w:name="_Toc279142318"/>
      <w:r>
        <w:t>NSLs don’t violate privacy:  The information obtained from NSLs isn’t “private”</w:t>
      </w:r>
      <w:bookmarkEnd w:id="16"/>
    </w:p>
    <w:p w14:paraId="696C372A" w14:textId="7D423588"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24" w:history="1">
        <w:r w:rsidR="00244F3C" w:rsidRPr="00A56061">
          <w:rPr>
            <w:rStyle w:val="Hyperlink"/>
          </w:rPr>
          <w:t>http://www.americanbar.org/groups/public_services/law_national_security/patriot_debates2/the_book_online/ch5/ch5_ess2.html</w:t>
        </w:r>
      </w:hyperlink>
      <w:r w:rsidR="00244F3C">
        <w:t xml:space="preserve"> </w:t>
      </w:r>
    </w:p>
    <w:p w14:paraId="778D3BF8" w14:textId="77777777" w:rsidR="002840A5" w:rsidRDefault="002840A5" w:rsidP="002840A5">
      <w:pPr>
        <w:pStyle w:val="Evidence"/>
      </w:pPr>
      <w:r>
        <w:rPr>
          <w:shd w:val="clear" w:color="auto" w:fill="FFFFFF"/>
        </w:rPr>
        <w:t xml:space="preserve">First, the German-Richardson essay characterizes the information that can be obtained with an NSL as “sensitive, private information.” </w:t>
      </w:r>
      <w:r w:rsidRPr="008E5AA1">
        <w:rPr>
          <w:u w:val="single"/>
          <w:shd w:val="clear" w:color="auto" w:fill="FFFFFF"/>
        </w:rPr>
        <w:t>A person not steeped in the intricacies of the law might infer from that assertion that an NSL can be used to obtain private diaries or psychiatric records or attorney-client privileged information—data that really is both sensitive and intensely private. The reality is far different. None of the information that can be obtained with an NSL is constitutionally protected.</w:t>
      </w:r>
      <w:r>
        <w:rPr>
          <w:shd w:val="clear" w:color="auto" w:fill="FFFFFF"/>
        </w:rPr>
        <w:t xml:space="preserve"> As noted above, </w:t>
      </w:r>
      <w:r w:rsidRPr="008E5AA1">
        <w:rPr>
          <w:u w:val="single"/>
          <w:shd w:val="clear" w:color="auto" w:fill="FFFFFF"/>
        </w:rPr>
        <w:t>the only information that can be obtained is information about who is in communication with whom (not the content of the communication); information contained in credit card and bank records; and information aggregated by credit-reporting agencies. The unifying feature of all that data is that it has been shared with a third party</w:t>
      </w:r>
      <w:r>
        <w:rPr>
          <w:shd w:val="clear" w:color="auto" w:fill="FFFFFF"/>
        </w:rPr>
        <w:t xml:space="preserve"> (e.g., the person on the other end of the phone line, the clerk in the store who processes a credit card purchase, the teller who processes the checks deposited in a bank account). </w:t>
      </w:r>
      <w:r w:rsidRPr="008E5AA1">
        <w:rPr>
          <w:u w:val="single"/>
          <w:shd w:val="clear" w:color="auto" w:fill="FFFFFF"/>
        </w:rPr>
        <w:t>As the Supreme Court made clear in</w:t>
      </w:r>
      <w:r w:rsidRPr="008E5AA1">
        <w:rPr>
          <w:rStyle w:val="apple-converted-space"/>
          <w:rFonts w:ascii="Verdana" w:hAnsi="Verdana"/>
          <w:color w:val="333333"/>
          <w:sz w:val="14"/>
          <w:szCs w:val="14"/>
          <w:u w:val="single"/>
          <w:shd w:val="clear" w:color="auto" w:fill="FFFFFF"/>
        </w:rPr>
        <w:t> </w:t>
      </w:r>
      <w:r w:rsidRPr="008E5AA1">
        <w:rPr>
          <w:rStyle w:val="Emphasis"/>
          <w:rFonts w:ascii="Verdana" w:hAnsi="Verdana"/>
          <w:color w:val="333333"/>
          <w:sz w:val="14"/>
          <w:szCs w:val="14"/>
          <w:u w:val="single"/>
          <w:shd w:val="clear" w:color="auto" w:fill="FFFFFF"/>
        </w:rPr>
        <w:t>United States v. Miller</w:t>
      </w:r>
      <w:r>
        <w:rPr>
          <w:rStyle w:val="Emphasis"/>
          <w:rFonts w:ascii="Verdana" w:hAnsi="Verdana"/>
          <w:color w:val="333333"/>
          <w:sz w:val="14"/>
          <w:szCs w:val="14"/>
          <w:shd w:val="clear" w:color="auto" w:fill="FFFFFF"/>
        </w:rPr>
        <w:t>,</w:t>
      </w:r>
      <w:r>
        <w:rPr>
          <w:rStyle w:val="apple-converted-space"/>
          <w:rFonts w:ascii="Verdana" w:hAnsi="Verdana"/>
          <w:i/>
          <w:iCs/>
          <w:color w:val="333333"/>
          <w:sz w:val="14"/>
          <w:szCs w:val="14"/>
          <w:shd w:val="clear" w:color="auto" w:fill="FFFFFF"/>
        </w:rPr>
        <w:t> </w:t>
      </w:r>
      <w:r>
        <w:rPr>
          <w:shd w:val="clear" w:color="auto" w:fill="FFFFFF"/>
        </w:rPr>
        <w:t>425 U.S. 435 (1976</w:t>
      </w:r>
      <w:r w:rsidRPr="008E5AA1">
        <w:rPr>
          <w:u w:val="single"/>
          <w:shd w:val="clear" w:color="auto" w:fill="FFFFFF"/>
        </w:rPr>
        <w:t>), there is no reasonable expectation of privacy in such data. Moreover, the overwhelming majority of NSLs are issued to obtain information that virtually no one considers “private” or sensitive: subscriber information for phone numbers</w:t>
      </w:r>
      <w:r>
        <w:rPr>
          <w:shd w:val="clear" w:color="auto" w:fill="FFFFFF"/>
        </w:rPr>
        <w:t>.</w:t>
      </w:r>
    </w:p>
    <w:p w14:paraId="004280A6" w14:textId="77777777" w:rsidR="002840A5" w:rsidRDefault="002840A5" w:rsidP="002840A5">
      <w:pPr>
        <w:pStyle w:val="Contention2"/>
      </w:pPr>
      <w:bookmarkStart w:id="17" w:name="_Toc279142319"/>
      <w:r>
        <w:t>“Non-disclosure rule violates 1</w:t>
      </w:r>
      <w:r w:rsidRPr="00F322AE">
        <w:rPr>
          <w:vertAlign w:val="superscript"/>
        </w:rPr>
        <w:t>st</w:t>
      </w:r>
      <w:r>
        <w:t xml:space="preserve"> Amendment” – Response:  Safeguards exists and the rule can be challenged or reversed</w:t>
      </w:r>
      <w:bookmarkEnd w:id="17"/>
    </w:p>
    <w:p w14:paraId="124E14FB" w14:textId="796FADE5"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25" w:history="1">
        <w:r w:rsidR="00244F3C" w:rsidRPr="00A56061">
          <w:rPr>
            <w:rStyle w:val="Hyperlink"/>
          </w:rPr>
          <w:t>http://www.americanbar.org/groups/public_services/law_national_security/patriot_debates2/the_book_online/ch5/ch5_ess2.html</w:t>
        </w:r>
      </w:hyperlink>
      <w:r w:rsidR="00244F3C">
        <w:t xml:space="preserve"> </w:t>
      </w:r>
    </w:p>
    <w:p w14:paraId="5887AF42" w14:textId="77777777" w:rsidR="002840A5" w:rsidRDefault="002840A5" w:rsidP="002840A5">
      <w:pPr>
        <w:pStyle w:val="Evidence"/>
      </w:pPr>
      <w:r>
        <w:rPr>
          <w:shd w:val="clear" w:color="auto" w:fill="FFFFFF"/>
        </w:rPr>
        <w:t xml:space="preserve">Similarly, </w:t>
      </w:r>
      <w:r w:rsidRPr="00F322AE">
        <w:rPr>
          <w:u w:val="single"/>
          <w:shd w:val="clear" w:color="auto" w:fill="FFFFFF"/>
        </w:rPr>
        <w:t>for any NSL that includes a non-disclosure order, the NSL notifies the recipient that, should they desire to disclose the fact that they received an NSL, they can either commence an action to set aside the nondisclosure requirement or they can notify the FBI of their desire to disclose. The NSL further informs the recipient that if the FBI wishes to maintain the secrecy of the NSL in the face of the recipient’s desire to disclose it, the FBI will bear the burden of commencing a judicial proceeding in which it will be required to demonstrate the need for secrecy to a federal judge. If the FBI fails to do so, then the recipient will be free to disclose the NSL. That notification was added to all NSLs in February of 2009</w:t>
      </w:r>
      <w:r>
        <w:rPr>
          <w:shd w:val="clear" w:color="auto" w:fill="FFFFFF"/>
        </w:rPr>
        <w:t xml:space="preserve">, </w:t>
      </w:r>
      <w:r w:rsidRPr="00F322AE">
        <w:t>based on the decision of the Second Circuit Court of Appeals in </w:t>
      </w:r>
      <w:r w:rsidRPr="00F322AE">
        <w:rPr>
          <w:i/>
        </w:rPr>
        <w:t>Doe v. Mukasey</w:t>
      </w:r>
      <w:proofErr w:type="gramStart"/>
      <w:r w:rsidRPr="00F322AE">
        <w:t>,549</w:t>
      </w:r>
      <w:proofErr w:type="gramEnd"/>
      <w:r w:rsidRPr="00F322AE">
        <w:t xml:space="preserve"> F.3d 861 (2d Cir. 2008), that such a procedure was necessary for the non-disclosure provision of the NSL statute to pass constitutional muster.</w:t>
      </w:r>
    </w:p>
    <w:p w14:paraId="685B6985" w14:textId="77777777" w:rsidR="002840A5" w:rsidRDefault="002840A5" w:rsidP="002840A5">
      <w:pPr>
        <w:pStyle w:val="Contention2"/>
      </w:pPr>
      <w:bookmarkStart w:id="18" w:name="_Toc279142320"/>
      <w:r>
        <w:t xml:space="preserve">“Gag order”/ Non-disclosure rule: </w:t>
      </w:r>
      <w:proofErr w:type="gramStart"/>
      <w:r>
        <w:t>It’s justified by the security risk</w:t>
      </w:r>
      <w:proofErr w:type="gramEnd"/>
      <w:r>
        <w:t xml:space="preserve"> and there are legal ways to appeal it</w:t>
      </w:r>
      <w:bookmarkEnd w:id="18"/>
    </w:p>
    <w:p w14:paraId="15EC10F9" w14:textId="3F848281"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26" w:history="1">
        <w:r w:rsidR="00244F3C" w:rsidRPr="00A56061">
          <w:rPr>
            <w:rStyle w:val="Hyperlink"/>
          </w:rPr>
          <w:t>http://www.americanbar.org/groups/public_services/law_national_security/patriot_debates2/the_book_online/ch5/ch5_ess2.html</w:t>
        </w:r>
      </w:hyperlink>
      <w:r w:rsidR="00244F3C">
        <w:t xml:space="preserve"> </w:t>
      </w:r>
    </w:p>
    <w:p w14:paraId="1C53EB63" w14:textId="77777777" w:rsidR="002840A5" w:rsidRDefault="002840A5" w:rsidP="002840A5">
      <w:pPr>
        <w:pStyle w:val="Evidence"/>
        <w:rPr>
          <w:shd w:val="clear" w:color="auto" w:fill="FFFFFF"/>
        </w:rPr>
      </w:pPr>
      <w:r w:rsidRPr="007E1E81">
        <w:rPr>
          <w:shd w:val="clear" w:color="auto" w:fill="FFFFFF"/>
        </w:rPr>
        <w:t xml:space="preserve">As the DOJ IG noted in its 2008 report on the FBI’s use of NSLs, the vast majority of NSLs (approximately 97 percent) include nondisclosure requirements. That statistic is not particularly surprising, as NSLs can be used only to investigate national security cases—cases where the risk from premature disclosure can be particularly grave. For example, a terrorist target, on learning of an investigation, could take steps to expedite his plans of mayhem, to eliminate individuals who are believed to be cooperating with the government, or to destroy critical evidence. Or diplomatic relations could be gravely harmed if a foreign government were to learn that the FBI had obtained </w:t>
      </w:r>
      <w:proofErr w:type="spellStart"/>
      <w:r w:rsidRPr="007E1E81">
        <w:rPr>
          <w:shd w:val="clear" w:color="auto" w:fill="FFFFFF"/>
        </w:rPr>
        <w:t>phonerecords</w:t>
      </w:r>
      <w:proofErr w:type="spellEnd"/>
      <w:r w:rsidRPr="007E1E81">
        <w:rPr>
          <w:shd w:val="clear" w:color="auto" w:fill="FFFFFF"/>
        </w:rPr>
        <w:t xml:space="preserve"> associated with its officials who are in the United States. In short, there are good and sufficient reasons why the FBI generally wishes to keep the existence of an NSL secret; nevertheless, there is now a clear and constitutional process that NSL recipients can follow if they wish to make a disclosure.</w:t>
      </w:r>
    </w:p>
    <w:p w14:paraId="5A7A0104" w14:textId="77777777" w:rsidR="002840A5" w:rsidRDefault="002840A5" w:rsidP="002840A5">
      <w:pPr>
        <w:pStyle w:val="Contention2"/>
        <w:rPr>
          <w:shd w:val="clear" w:color="auto" w:fill="FFFFFF"/>
        </w:rPr>
      </w:pPr>
      <w:bookmarkStart w:id="19" w:name="_Toc279142321"/>
      <w:r>
        <w:rPr>
          <w:shd w:val="clear" w:color="auto" w:fill="FFFFFF"/>
        </w:rPr>
        <w:lastRenderedPageBreak/>
        <w:t>Most NSL non-disclosure orders were ruled unconstitutional, so they’re gone.  The only ones left must meet very strict criteria</w:t>
      </w:r>
      <w:bookmarkEnd w:id="19"/>
    </w:p>
    <w:p w14:paraId="1585DE4F" w14:textId="5F3A4047" w:rsidR="002840A5" w:rsidRDefault="002840A5" w:rsidP="002840A5">
      <w:pPr>
        <w:pStyle w:val="Citation3"/>
        <w:rPr>
          <w:shd w:val="clear" w:color="auto" w:fill="FFFFFF"/>
        </w:rPr>
      </w:pPr>
      <w:r>
        <w:rPr>
          <w:shd w:val="clear" w:color="auto" w:fill="FFFFFF"/>
        </w:rPr>
        <w:t xml:space="preserve">Dr. Craig R. Ducat 2013. (PhD; professor at Northern Illinois </w:t>
      </w:r>
      <w:proofErr w:type="spellStart"/>
      <w:r>
        <w:rPr>
          <w:shd w:val="clear" w:color="auto" w:fill="FFFFFF"/>
        </w:rPr>
        <w:t>Univ</w:t>
      </w:r>
      <w:proofErr w:type="spellEnd"/>
      <w:r>
        <w:rPr>
          <w:shd w:val="clear" w:color="auto" w:fill="FFFFFF"/>
        </w:rPr>
        <w:t>) CONSTITUTIONAL INTERPRETATION – Rights of the Individual, 10</w:t>
      </w:r>
      <w:r w:rsidRPr="001322E9">
        <w:rPr>
          <w:shd w:val="clear" w:color="auto" w:fill="FFFFFF"/>
          <w:vertAlign w:val="superscript"/>
        </w:rPr>
        <w:t>th</w:t>
      </w:r>
      <w:r>
        <w:rPr>
          <w:shd w:val="clear" w:color="auto" w:fill="FFFFFF"/>
        </w:rPr>
        <w:t xml:space="preserve"> </w:t>
      </w:r>
      <w:proofErr w:type="gramStart"/>
      <w:r>
        <w:rPr>
          <w:shd w:val="clear" w:color="auto" w:fill="FFFFFF"/>
        </w:rPr>
        <w:t xml:space="preserve">Edition  </w:t>
      </w:r>
      <w:proofErr w:type="spellStart"/>
      <w:r>
        <w:rPr>
          <w:shd w:val="clear" w:color="auto" w:fill="FFFFFF"/>
        </w:rPr>
        <w:t>Vol</w:t>
      </w:r>
      <w:proofErr w:type="spellEnd"/>
      <w:proofErr w:type="gramEnd"/>
      <w:r>
        <w:rPr>
          <w:shd w:val="clear" w:color="auto" w:fill="FFFFFF"/>
        </w:rPr>
        <w:t xml:space="preserve"> 2 </w:t>
      </w:r>
      <w:hyperlink r:id="rId27" w:history="1">
        <w:r w:rsidR="00244F3C" w:rsidRPr="00A56061">
          <w:rPr>
            <w:rStyle w:val="Hyperlink"/>
            <w:shd w:val="clear" w:color="auto" w:fill="FFFFFF"/>
          </w:rPr>
          <w:t>http://books.google.fr/books?id=gbcJAAAAQBAJ&amp;pg=PA724&amp;lpg=PA724&amp;dq=%22exclusionary+rule%22+%2B+%22electronic+communications+privacy+act%22&amp;source=bl&amp;ots=ooRJnXJWf7&amp;sig=rTZM6zttYtt_mW58deQHND3u-Ek&amp;hl=en&amp;sa=X&amp;ei=uC1dVO_uJ8TiO4PPgaAC&amp;redir_esc=y#v=onepage&amp;q=%22exclusionary%20rule%22%20%2B%20%22electronic%20communications%20privacy%20act%22&amp;f=false</w:t>
        </w:r>
      </w:hyperlink>
      <w:r w:rsidR="00244F3C">
        <w:rPr>
          <w:shd w:val="clear" w:color="auto" w:fill="FFFFFF"/>
        </w:rPr>
        <w:t xml:space="preserve"> </w:t>
      </w:r>
    </w:p>
    <w:p w14:paraId="4BAE26BC" w14:textId="77777777" w:rsidR="002840A5" w:rsidRDefault="002840A5" w:rsidP="00244F3C">
      <w:pPr>
        <w:pStyle w:val="Evidence"/>
        <w:rPr>
          <w:shd w:val="clear" w:color="auto" w:fill="FFFFFF"/>
        </w:rPr>
      </w:pPr>
      <w:r>
        <w:rPr>
          <w:noProof/>
          <w:shd w:val="clear" w:color="auto" w:fill="FFFFFF"/>
        </w:rPr>
        <w:drawing>
          <wp:inline distT="0" distB="0" distL="0" distR="0" wp14:anchorId="05520CEB" wp14:editId="37C63DC8">
            <wp:extent cx="5600700" cy="273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00700" cy="2733675"/>
                    </a:xfrm>
                    <a:prstGeom prst="rect">
                      <a:avLst/>
                    </a:prstGeom>
                    <a:noFill/>
                    <a:ln>
                      <a:noFill/>
                    </a:ln>
                  </pic:spPr>
                </pic:pic>
              </a:graphicData>
            </a:graphic>
          </wp:inline>
        </w:drawing>
      </w:r>
    </w:p>
    <w:p w14:paraId="7310D050" w14:textId="77777777" w:rsidR="002840A5" w:rsidRDefault="002840A5" w:rsidP="002840A5">
      <w:pPr>
        <w:pStyle w:val="Contention2"/>
        <w:rPr>
          <w:shd w:val="clear" w:color="auto" w:fill="FFFFFF"/>
        </w:rPr>
      </w:pPr>
      <w:bookmarkStart w:id="20" w:name="_Toc279142322"/>
      <w:r>
        <w:rPr>
          <w:shd w:val="clear" w:color="auto" w:fill="FFFFFF"/>
        </w:rPr>
        <w:t xml:space="preserve">Non-disclosure rule: How bad can it be?  </w:t>
      </w:r>
      <w:r w:rsidRPr="001C54DF">
        <w:rPr>
          <w:u w:val="single"/>
          <w:shd w:val="clear" w:color="auto" w:fill="FFFFFF"/>
        </w:rPr>
        <w:t>No one</w:t>
      </w:r>
      <w:r>
        <w:rPr>
          <w:shd w:val="clear" w:color="auto" w:fill="FFFFFF"/>
        </w:rPr>
        <w:t xml:space="preserve"> has ever requested to use the disclosure appeal process</w:t>
      </w:r>
      <w:bookmarkEnd w:id="20"/>
    </w:p>
    <w:p w14:paraId="67147AFB" w14:textId="3A90F95C"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29" w:history="1">
        <w:r w:rsidR="00244F3C" w:rsidRPr="00A56061">
          <w:rPr>
            <w:rStyle w:val="Hyperlink"/>
          </w:rPr>
          <w:t>http://www.americanbar.org/groups/public_services/law_national_security/patriot_debates2/the_book_online/ch5/ch5_ess2.html</w:t>
        </w:r>
      </w:hyperlink>
      <w:r w:rsidR="00244F3C">
        <w:t xml:space="preserve"> </w:t>
      </w:r>
    </w:p>
    <w:p w14:paraId="17BEDB02" w14:textId="77777777" w:rsidR="002840A5" w:rsidRPr="001C54DF" w:rsidRDefault="002840A5" w:rsidP="002840A5">
      <w:pPr>
        <w:pStyle w:val="Evidence"/>
      </w:pPr>
      <w:r w:rsidRPr="001C54DF">
        <w:rPr>
          <w:shd w:val="clear" w:color="auto" w:fill="FFFFFF"/>
        </w:rPr>
        <w:t>We should note that after approximately three years of including in NSLs the provision for disclosure (during which time the FBI issued well over 50,000 NSLs), no recipients have notified the FBI that they wish to make a disclosure.</w:t>
      </w:r>
    </w:p>
    <w:p w14:paraId="0FE49DD1" w14:textId="77777777" w:rsidR="002840A5" w:rsidRDefault="002840A5" w:rsidP="002840A5">
      <w:pPr>
        <w:pStyle w:val="Contention2"/>
      </w:pPr>
      <w:bookmarkStart w:id="21" w:name="_Toc279142323"/>
      <w:r>
        <w:lastRenderedPageBreak/>
        <w:t>No 1</w:t>
      </w:r>
      <w:r w:rsidRPr="00C72ED7">
        <w:rPr>
          <w:vertAlign w:val="superscript"/>
        </w:rPr>
        <w:t>st</w:t>
      </w:r>
      <w:r>
        <w:t xml:space="preserve"> Amendment “Freedom   of Association” violation with NSLs – because commercial relationships don’t give rise to associational rights</w:t>
      </w:r>
      <w:bookmarkEnd w:id="21"/>
    </w:p>
    <w:p w14:paraId="50871658" w14:textId="1151E8E2" w:rsidR="002840A5" w:rsidRPr="00C72ED7" w:rsidRDefault="002840A5" w:rsidP="002840A5">
      <w:pPr>
        <w:pStyle w:val="Citation3"/>
      </w:pPr>
      <w:proofErr w:type="gramStart"/>
      <w:r w:rsidRPr="00C72ED7">
        <w:rPr>
          <w:u w:val="single"/>
        </w:rPr>
        <w:t xml:space="preserve">Tony West, Melinda Haag, Arthur Goldberg, Sandra </w:t>
      </w:r>
      <w:proofErr w:type="spellStart"/>
      <w:r w:rsidRPr="00C72ED7">
        <w:rPr>
          <w:u w:val="single"/>
        </w:rPr>
        <w:t>Schraibman</w:t>
      </w:r>
      <w:proofErr w:type="spellEnd"/>
      <w:r w:rsidRPr="00C72ED7">
        <w:rPr>
          <w:u w:val="single"/>
        </w:rPr>
        <w:t xml:space="preserve">, Steven </w:t>
      </w:r>
      <w:proofErr w:type="spellStart"/>
      <w:r w:rsidRPr="00C72ED7">
        <w:rPr>
          <w:u w:val="single"/>
        </w:rPr>
        <w:t>Bressler</w:t>
      </w:r>
      <w:proofErr w:type="spellEnd"/>
      <w:r w:rsidRPr="00C72ED7">
        <w:rPr>
          <w:u w:val="single"/>
        </w:rPr>
        <w:t xml:space="preserve"> 2011</w:t>
      </w:r>
      <w:r w:rsidRPr="00C72ED7">
        <w:t>.</w:t>
      </w:r>
      <w:proofErr w:type="gramEnd"/>
      <w:r w:rsidRPr="00C72ED7">
        <w:t xml:space="preserve"> (West -Assistant Attorney </w:t>
      </w:r>
      <w:proofErr w:type="gramStart"/>
      <w:r w:rsidRPr="00C72ED7">
        <w:t>General .</w:t>
      </w:r>
      <w:proofErr w:type="gramEnd"/>
      <w:r w:rsidRPr="00C72ED7">
        <w:t xml:space="preserve"> </w:t>
      </w:r>
      <w:proofErr w:type="gramStart"/>
      <w:r w:rsidRPr="00C72ED7">
        <w:t>Haag - United States Attorney.</w:t>
      </w:r>
      <w:proofErr w:type="gramEnd"/>
      <w:r w:rsidRPr="00C72ED7">
        <w:t xml:space="preserve">  GOLDBERG </w:t>
      </w:r>
      <w:proofErr w:type="gramStart"/>
      <w:r w:rsidRPr="00C72ED7">
        <w:t>&amp;  SCHRAIBMAN</w:t>
      </w:r>
      <w:proofErr w:type="gramEnd"/>
      <w:r w:rsidRPr="00C72ED7">
        <w:t xml:space="preserve"> - Assistant Branch Directors, US </w:t>
      </w:r>
      <w:proofErr w:type="spellStart"/>
      <w:r w:rsidRPr="00C72ED7">
        <w:t>Dept</w:t>
      </w:r>
      <w:proofErr w:type="spellEnd"/>
      <w:r w:rsidRPr="00C72ED7">
        <w:t xml:space="preserve"> of Justice. </w:t>
      </w:r>
      <w:proofErr w:type="spellStart"/>
      <w:r w:rsidRPr="00C72ED7">
        <w:t>Bressler</w:t>
      </w:r>
      <w:proofErr w:type="spellEnd"/>
      <w:r w:rsidRPr="00C72ED7">
        <w:t xml:space="preserve"> - Trial Attorney, US </w:t>
      </w:r>
      <w:proofErr w:type="spellStart"/>
      <w:r w:rsidRPr="00C72ED7">
        <w:t>Dept</w:t>
      </w:r>
      <w:proofErr w:type="spellEnd"/>
      <w:r w:rsidRPr="00C72ED7">
        <w:t xml:space="preserve"> of Justice) REPLY MEMORANDUM IN SUPPORT OF MOTION TO COMPEL COMPLIANCE WITH NATIONAL SECURITY LETTER REQUEST FOR INFORMATION FILED UNDER SEAL PURSUANT TO THE COURT'S ORDER DATED MAY 11, 2011 </w:t>
      </w:r>
      <w:hyperlink r:id="rId30" w:history="1">
        <w:r w:rsidR="00244F3C" w:rsidRPr="00A56061">
          <w:rPr>
            <w:rStyle w:val="Hyperlink"/>
          </w:rPr>
          <w:t>https://www.eff.org/sites/default/files/filenode/motiontocompel-reply.pdf</w:t>
        </w:r>
      </w:hyperlink>
      <w:r w:rsidR="00244F3C">
        <w:t xml:space="preserve"> </w:t>
      </w:r>
    </w:p>
    <w:p w14:paraId="69710961" w14:textId="77777777" w:rsidR="002840A5" w:rsidRDefault="002840A5" w:rsidP="00244F3C">
      <w:pPr>
        <w:pStyle w:val="Evidence"/>
      </w:pPr>
      <w:r>
        <w:rPr>
          <w:noProof/>
        </w:rPr>
        <w:drawing>
          <wp:inline distT="0" distB="0" distL="0" distR="0" wp14:anchorId="4B3CF427" wp14:editId="7C6F557B">
            <wp:extent cx="3669030" cy="2581227"/>
            <wp:effectExtent l="1905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srcRect/>
                    <a:stretch>
                      <a:fillRect/>
                    </a:stretch>
                  </pic:blipFill>
                  <pic:spPr bwMode="auto">
                    <a:xfrm>
                      <a:off x="0" y="0"/>
                      <a:ext cx="3669030" cy="2581227"/>
                    </a:xfrm>
                    <a:prstGeom prst="rect">
                      <a:avLst/>
                    </a:prstGeom>
                    <a:noFill/>
                    <a:ln w="9525">
                      <a:noFill/>
                      <a:miter lim="800000"/>
                      <a:headEnd/>
                      <a:tailEnd/>
                    </a:ln>
                  </pic:spPr>
                </pic:pic>
              </a:graphicData>
            </a:graphic>
          </wp:inline>
        </w:drawing>
      </w:r>
    </w:p>
    <w:p w14:paraId="3081BF28" w14:textId="77777777" w:rsidR="002840A5" w:rsidRDefault="002840A5" w:rsidP="002840A5">
      <w:pPr>
        <w:pStyle w:val="Contention2"/>
      </w:pPr>
      <w:bookmarkStart w:id="22" w:name="_Toc279142324"/>
      <w:r>
        <w:t>No eavesdropping:  NSLs are not used to obtain the content of communications</w:t>
      </w:r>
      <w:bookmarkEnd w:id="22"/>
    </w:p>
    <w:p w14:paraId="7C8F311A" w14:textId="5884796E" w:rsidR="002840A5" w:rsidRDefault="002840A5" w:rsidP="002840A5">
      <w:pPr>
        <w:pStyle w:val="Citation3"/>
      </w:pPr>
      <w:proofErr w:type="gramStart"/>
      <w:r w:rsidRPr="005B3B59">
        <w:rPr>
          <w:u w:val="single"/>
        </w:rPr>
        <w:t xml:space="preserve">Stuart </w:t>
      </w:r>
      <w:proofErr w:type="spellStart"/>
      <w:r w:rsidRPr="005B3B59">
        <w:rPr>
          <w:u w:val="single"/>
        </w:rPr>
        <w:t>Delery</w:t>
      </w:r>
      <w:proofErr w:type="spellEnd"/>
      <w:r w:rsidRPr="005B3B59">
        <w:rPr>
          <w:u w:val="single"/>
        </w:rPr>
        <w:t>, Douglas Letter, Scott McIntosh, Jonathan Levy 2014</w:t>
      </w:r>
      <w:r>
        <w:t>.</w:t>
      </w:r>
      <w:proofErr w:type="gramEnd"/>
      <w:r>
        <w:t xml:space="preserve"> (</w:t>
      </w:r>
      <w:proofErr w:type="gramStart"/>
      <w:r>
        <w:t>attorneys</w:t>
      </w:r>
      <w:proofErr w:type="gramEnd"/>
      <w:r>
        <w:t xml:space="preserve"> with the US </w:t>
      </w:r>
      <w:proofErr w:type="spellStart"/>
      <w:r>
        <w:t>Dept</w:t>
      </w:r>
      <w:proofErr w:type="spellEnd"/>
      <w:r>
        <w:t xml:space="preserve"> of Justice) 17 Jan 2014 brief filed in the </w:t>
      </w:r>
      <w:proofErr w:type="spellStart"/>
      <w:r>
        <w:t>THE</w:t>
      </w:r>
      <w:proofErr w:type="spellEnd"/>
      <w:r>
        <w:t xml:space="preserve"> UNITED STATES COURT OF APPEALS FOR THE NINTH CIRCUIT, IN RE NATIONAL SECURITY LETTER, UNDER SEAL, Petitioner-Appellee (No. 13-15957), Petitioner-Appellant (No. 13-16731), v. ERIC H. HOLDER, Jr., Attorney General; UNITED STATES DEPARTMENT OF JUSTICE; FEDERAL BUREAU OF INVESTIGATION</w:t>
      </w:r>
      <w:r w:rsidRPr="005B3B59">
        <w:t xml:space="preserve"> </w:t>
      </w:r>
      <w:hyperlink r:id="rId32" w:history="1">
        <w:r w:rsidR="00244F3C" w:rsidRPr="00A56061">
          <w:rPr>
            <w:rStyle w:val="Hyperlink"/>
          </w:rPr>
          <w:t>http://cdn.ca9.uscourts.gov/datastore/general/2014/02/04/13-15957and13-16731_gov_opening_brief.pdf</w:t>
        </w:r>
      </w:hyperlink>
      <w:r w:rsidR="00244F3C">
        <w:t xml:space="preserve"> </w:t>
      </w:r>
    </w:p>
    <w:p w14:paraId="1C5BAEE7" w14:textId="77777777" w:rsidR="002840A5" w:rsidRPr="005B3B59" w:rsidRDefault="002840A5" w:rsidP="002840A5">
      <w:pPr>
        <w:pStyle w:val="Evidence"/>
      </w:pPr>
      <w:r w:rsidRPr="005B3B59">
        <w:t xml:space="preserve">Congress has empowered the FBI to issue an administrative subpoena known as a National Security Letter (or NSL) as part of authorized investigations to protect against international terrorism and clandestine intelligence activities. </w:t>
      </w:r>
      <w:r w:rsidRPr="005B3B59">
        <w:rPr>
          <w:u w:val="single"/>
        </w:rPr>
        <w:t>NSLs are directed to electronic communications service providers in order to obtain specified limited information; they are not used to obtain the content of communications</w:t>
      </w:r>
      <w:r w:rsidRPr="005B3B59">
        <w:t xml:space="preserve">. </w:t>
      </w:r>
    </w:p>
    <w:p w14:paraId="0451A286" w14:textId="77777777" w:rsidR="002840A5" w:rsidRDefault="002840A5" w:rsidP="002840A5">
      <w:pPr>
        <w:pStyle w:val="Contention2"/>
      </w:pPr>
      <w:bookmarkStart w:id="23" w:name="_Toc279142325"/>
      <w:r>
        <w:t>NSL authority is quite limited</w:t>
      </w:r>
      <w:bookmarkEnd w:id="23"/>
    </w:p>
    <w:p w14:paraId="4AD4908C" w14:textId="47086B6A"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33" w:history="1">
        <w:r w:rsidR="00244F3C" w:rsidRPr="00A56061">
          <w:rPr>
            <w:rStyle w:val="Hyperlink"/>
          </w:rPr>
          <w:t>http://www.americanbar.org/groups/public_services/law_national_security/patriot_debates2/the_book_online/ch5/ch5_ess2.html</w:t>
        </w:r>
      </w:hyperlink>
      <w:r w:rsidR="00244F3C">
        <w:t xml:space="preserve"> </w:t>
      </w:r>
    </w:p>
    <w:p w14:paraId="57BA2898" w14:textId="290D91C2" w:rsidR="002840A5" w:rsidRDefault="002840A5" w:rsidP="002840A5">
      <w:pPr>
        <w:pStyle w:val="Evidence"/>
      </w:pPr>
      <w:r>
        <w:rPr>
          <w:shd w:val="clear" w:color="auto" w:fill="FFFFFF"/>
        </w:rPr>
        <w:t>The NSL authority is now and always has been quite limited. First, unlike grand jury subpoenas that can be used to collect any non-privileged document from any person or entity, the FBI can use NSLs only to obtain a very narrow range of information from a very narrow range of third-party businesses: NSLs can be used to obtain transactional information from wire or electronic communications service providers (e.g., phone companies and Internet service providers), financial institutions (e.g., banks and credit card issuers), and credit-reporting agencies.</w:t>
      </w:r>
    </w:p>
    <w:p w14:paraId="1BB431FA" w14:textId="77777777" w:rsidR="002840A5" w:rsidRDefault="002840A5" w:rsidP="002840A5">
      <w:pPr>
        <w:pStyle w:val="Contention1"/>
      </w:pPr>
      <w:bookmarkStart w:id="24" w:name="_Toc279142326"/>
      <w:r>
        <w:lastRenderedPageBreak/>
        <w:t>DISADVANTAGES</w:t>
      </w:r>
      <w:bookmarkEnd w:id="24"/>
    </w:p>
    <w:p w14:paraId="6AEE06BB" w14:textId="77777777" w:rsidR="002840A5" w:rsidRDefault="002840A5" w:rsidP="002840A5">
      <w:pPr>
        <w:pStyle w:val="Contention1"/>
      </w:pPr>
      <w:bookmarkStart w:id="25" w:name="_Toc279142327"/>
      <w:r>
        <w:t>1.  Loss of secrecy.</w:t>
      </w:r>
      <w:bookmarkEnd w:id="25"/>
    </w:p>
    <w:p w14:paraId="488515A4" w14:textId="77777777" w:rsidR="002840A5" w:rsidRDefault="002840A5" w:rsidP="002840A5">
      <w:pPr>
        <w:pStyle w:val="Contention2"/>
      </w:pPr>
      <w:bookmarkStart w:id="26" w:name="_Toc279142328"/>
      <w:r>
        <w:t>Link &amp; Impact:  NSL secrecy is essential to protecting the safety of persons and to protect the investigation itself</w:t>
      </w:r>
      <w:bookmarkEnd w:id="26"/>
    </w:p>
    <w:p w14:paraId="349C0906" w14:textId="1621CC8A" w:rsidR="002840A5" w:rsidRDefault="002840A5" w:rsidP="002840A5">
      <w:pPr>
        <w:pStyle w:val="Citation3"/>
      </w:pPr>
      <w:proofErr w:type="gramStart"/>
      <w:r w:rsidRPr="005B3B59">
        <w:rPr>
          <w:u w:val="single"/>
        </w:rPr>
        <w:t xml:space="preserve">Stuart </w:t>
      </w:r>
      <w:proofErr w:type="spellStart"/>
      <w:r w:rsidRPr="005B3B59">
        <w:rPr>
          <w:u w:val="single"/>
        </w:rPr>
        <w:t>Delery</w:t>
      </w:r>
      <w:proofErr w:type="spellEnd"/>
      <w:r w:rsidRPr="005B3B59">
        <w:rPr>
          <w:u w:val="single"/>
        </w:rPr>
        <w:t>, Douglas Letter, Scott McIntosh, Jonathan Levy 2014</w:t>
      </w:r>
      <w:r>
        <w:t>.</w:t>
      </w:r>
      <w:proofErr w:type="gramEnd"/>
      <w:r>
        <w:t xml:space="preserve"> (</w:t>
      </w:r>
      <w:proofErr w:type="gramStart"/>
      <w:r>
        <w:t>attorneys</w:t>
      </w:r>
      <w:proofErr w:type="gramEnd"/>
      <w:r>
        <w:t xml:space="preserve"> with the US </w:t>
      </w:r>
      <w:proofErr w:type="spellStart"/>
      <w:r>
        <w:t>Dept</w:t>
      </w:r>
      <w:proofErr w:type="spellEnd"/>
      <w:r>
        <w:t xml:space="preserve"> of Justice) 17 Jan 2014 brief filed in the </w:t>
      </w:r>
      <w:proofErr w:type="spellStart"/>
      <w:r>
        <w:t>THE</w:t>
      </w:r>
      <w:proofErr w:type="spellEnd"/>
      <w:r>
        <w:t xml:space="preserve"> UNITED STATES COURT OF APPEALS FOR THE NINTH CIRCUIT, IN RE NATIONAL SECURITY LETTER, UNDER SEAL, Petitioner-Appellee (No. 13-15957), Petitioner-Appellant (No. 13-16731), v. ERIC H. HOLDER, Jr., Attorney General; UNITED STATES DEPARTMENT OF JUSTICE; FEDERAL BUREAU OF INVESTIGATION</w:t>
      </w:r>
      <w:r w:rsidRPr="005B3B59">
        <w:t xml:space="preserve"> </w:t>
      </w:r>
      <w:hyperlink r:id="rId34" w:history="1">
        <w:r w:rsidR="00244F3C" w:rsidRPr="00A56061">
          <w:rPr>
            <w:rStyle w:val="Hyperlink"/>
          </w:rPr>
          <w:t>http://cdn.ca9.uscourts.gov/datastore/general/2014/02/04/13-15957and13-16731_gov_opening_brief.pdf</w:t>
        </w:r>
      </w:hyperlink>
      <w:r w:rsidR="00244F3C">
        <w:t xml:space="preserve"> </w:t>
      </w:r>
    </w:p>
    <w:p w14:paraId="6112F9DA" w14:textId="77777777" w:rsidR="002840A5" w:rsidRDefault="002840A5" w:rsidP="002840A5">
      <w:pPr>
        <w:pStyle w:val="Evidence"/>
        <w:rPr>
          <w:u w:val="single"/>
        </w:rPr>
      </w:pPr>
      <w:r w:rsidRPr="005B3B59">
        <w:rPr>
          <w:u w:val="single"/>
        </w:rPr>
        <w:t>Congress has empowered the FBI to issue an administrative subpoena known as a National Security Letter (or NSL) as part of authorized investigations to protect against international terrorism and clandestine intelligence activities</w:t>
      </w:r>
      <w:r>
        <w:t xml:space="preserve">. NSLs are directed to electronic communications service providers in order to obtain specified limited information; they are not used to obtain the content of communications. </w:t>
      </w:r>
      <w:r w:rsidRPr="005B3B59">
        <w:rPr>
          <w:u w:val="single"/>
        </w:rPr>
        <w:t>Because secrecy is typically vital in such national security investigations, if the FBI certifies that disclosure could cause specified harms, such as interfering with the investigation or endangering the life or physical safety of any person, the NSL statute imposes a nondisclosure obligation on the NSL recipient.</w:t>
      </w:r>
    </w:p>
    <w:p w14:paraId="300815C2" w14:textId="77777777" w:rsidR="002840A5" w:rsidRDefault="002840A5" w:rsidP="002840A5">
      <w:pPr>
        <w:pStyle w:val="Contention2"/>
      </w:pPr>
      <w:bookmarkStart w:id="27" w:name="_Toc279142329"/>
      <w:r>
        <w:t>Impact:  Virtually every significant terrorism or espionage investigation requires NSLs for some critical information</w:t>
      </w:r>
      <w:bookmarkEnd w:id="27"/>
    </w:p>
    <w:p w14:paraId="41378D17" w14:textId="6A2AB5E7" w:rsidR="002840A5" w:rsidRPr="00240BC1" w:rsidRDefault="002840A5" w:rsidP="002840A5">
      <w:pPr>
        <w:pStyle w:val="Citation3"/>
      </w:pPr>
      <w:proofErr w:type="gramStart"/>
      <w:r w:rsidRPr="00240BC1">
        <w:rPr>
          <w:szCs w:val="14"/>
          <w:u w:val="single"/>
          <w:shd w:val="clear" w:color="auto" w:fill="FFFFFF"/>
        </w:rPr>
        <w:t xml:space="preserve">Valerie </w:t>
      </w:r>
      <w:proofErr w:type="spellStart"/>
      <w:r w:rsidRPr="00240BC1">
        <w:rPr>
          <w:szCs w:val="14"/>
          <w:u w:val="single"/>
          <w:shd w:val="clear" w:color="auto" w:fill="FFFFFF"/>
        </w:rPr>
        <w:t>Caproni</w:t>
      </w:r>
      <w:proofErr w:type="spellEnd"/>
      <w:r w:rsidRPr="00240BC1">
        <w:rPr>
          <w:szCs w:val="14"/>
          <w:u w:val="single"/>
          <w:shd w:val="clear" w:color="auto" w:fill="FFFFFF"/>
        </w:rPr>
        <w:t xml:space="preserve"> and Steven Siegel 2012.</w:t>
      </w:r>
      <w:proofErr w:type="gramEnd"/>
      <w:r w:rsidRPr="00240BC1">
        <w:rPr>
          <w:szCs w:val="14"/>
          <w:shd w:val="clear" w:color="auto" w:fill="FFFFFF"/>
        </w:rPr>
        <w:t xml:space="preserve"> (</w:t>
      </w:r>
      <w:proofErr w:type="gramStart"/>
      <w:r w:rsidRPr="00240BC1">
        <w:rPr>
          <w:szCs w:val="14"/>
          <w:shd w:val="clear" w:color="auto" w:fill="FFFFFF"/>
        </w:rPr>
        <w:t>both</w:t>
      </w:r>
      <w:proofErr w:type="gramEnd"/>
      <w:r w:rsidRPr="00240BC1">
        <w:rPr>
          <w:szCs w:val="14"/>
          <w:shd w:val="clear" w:color="auto" w:fill="FFFFFF"/>
        </w:rPr>
        <w:t xml:space="preserve"> are corporate attorneys with Northrop Grumman Corporation) </w:t>
      </w:r>
      <w:r w:rsidRPr="00240BC1">
        <w:rPr>
          <w:szCs w:val="24"/>
        </w:rPr>
        <w:t xml:space="preserve">The National Security Tool that Critics Love to </w:t>
      </w:r>
      <w:proofErr w:type="gramStart"/>
      <w:r w:rsidRPr="00240BC1">
        <w:rPr>
          <w:szCs w:val="24"/>
        </w:rPr>
        <w:t>Hate ,</w:t>
      </w:r>
      <w:proofErr w:type="gramEnd"/>
      <w:r w:rsidRPr="00240BC1">
        <w:rPr>
          <w:szCs w:val="24"/>
        </w:rPr>
        <w:t xml:space="preserve"> Sept 2012 </w:t>
      </w:r>
      <w:hyperlink r:id="rId35" w:history="1">
        <w:r w:rsidR="00244F3C" w:rsidRPr="00A56061">
          <w:rPr>
            <w:rStyle w:val="Hyperlink"/>
          </w:rPr>
          <w:t>http://www.americanbar.org/groups/public_services/law_national_security/patriot_debates2/the_book_online/ch5/ch5_ess2.html</w:t>
        </w:r>
      </w:hyperlink>
      <w:r w:rsidR="00244F3C">
        <w:t xml:space="preserve"> </w:t>
      </w:r>
    </w:p>
    <w:p w14:paraId="0B2C8E7D" w14:textId="77777777" w:rsidR="002840A5" w:rsidRDefault="002840A5" w:rsidP="002840A5">
      <w:pPr>
        <w:pStyle w:val="Evidence"/>
        <w:rPr>
          <w:shd w:val="clear" w:color="auto" w:fill="FFFFFF"/>
        </w:rPr>
      </w:pPr>
      <w:r>
        <w:rPr>
          <w:shd w:val="clear" w:color="auto" w:fill="FFFFFF"/>
        </w:rPr>
        <w:t>Although the NSL authority is quite limited, NSLs are nevertheless critical tools that enable FBI investigators to gather the type of basic information needed as the “building blocks” of national security investigations. It is not an exaggeration to say that virtually every significant national security investigation, whether of an individual suspected of planning to wreak havoc through an act of terrorism or of an individual suspected of spying on the United States for the benefit of a foreign nation, requires the use of NSLs for at least some critical information.</w:t>
      </w:r>
    </w:p>
    <w:p w14:paraId="476310CD" w14:textId="77777777" w:rsidR="002840A5" w:rsidRDefault="002840A5" w:rsidP="002840A5">
      <w:pPr>
        <w:pStyle w:val="Contention1"/>
      </w:pPr>
      <w:bookmarkStart w:id="28" w:name="_Toc279142330"/>
      <w:r>
        <w:t>2.  Slower investigations</w:t>
      </w:r>
      <w:bookmarkEnd w:id="28"/>
      <w:r>
        <w:t xml:space="preserve"> </w:t>
      </w:r>
    </w:p>
    <w:p w14:paraId="3E885593" w14:textId="77777777" w:rsidR="002840A5" w:rsidRDefault="002840A5" w:rsidP="002840A5">
      <w:pPr>
        <w:pStyle w:val="Contention2"/>
      </w:pPr>
      <w:bookmarkStart w:id="29" w:name="_Toc279142331"/>
      <w:r>
        <w:t>Link:  Affirmative slows down law enforcement access to business records</w:t>
      </w:r>
      <w:bookmarkEnd w:id="29"/>
    </w:p>
    <w:p w14:paraId="0F47BEB9" w14:textId="77777777" w:rsidR="002840A5" w:rsidRPr="005A1016" w:rsidRDefault="002840A5" w:rsidP="002840A5">
      <w:pPr>
        <w:pStyle w:val="Contention2"/>
      </w:pPr>
      <w:bookmarkStart w:id="30" w:name="_Toc279142332"/>
      <w:r w:rsidRPr="005A1016">
        <w:t xml:space="preserve">Link:  </w:t>
      </w:r>
      <w:r>
        <w:t>Terrorism threat justifies law enforcement access to business records.</w:t>
      </w:r>
      <w:bookmarkEnd w:id="30"/>
      <w:r>
        <w:t xml:space="preserve"> </w:t>
      </w:r>
    </w:p>
    <w:p w14:paraId="4E6C7C46" w14:textId="79AA734A" w:rsidR="002840A5" w:rsidRPr="00B47640" w:rsidRDefault="002840A5" w:rsidP="002840A5">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States House of Representatives  “</w:t>
      </w:r>
      <w:r w:rsidRPr="00B47640">
        <w:t>The Reauthorization of the PATRIOT Act</w:t>
      </w:r>
      <w:proofErr w:type="gramStart"/>
      <w:r w:rsidRPr="00B47640">
        <w:t xml:space="preserve">” </w:t>
      </w:r>
      <w:r w:rsidRPr="00B47640">
        <w:rPr>
          <w:szCs w:val="26"/>
        </w:rPr>
        <w:t xml:space="preserve"> </w:t>
      </w:r>
      <w:r>
        <w:rPr>
          <w:szCs w:val="26"/>
        </w:rPr>
        <w:t xml:space="preserve"> </w:t>
      </w:r>
      <w:proofErr w:type="gramEnd"/>
      <w:r w:rsidR="00244F3C">
        <w:fldChar w:fldCharType="begin"/>
      </w:r>
      <w:r w:rsidR="00244F3C">
        <w:instrText xml:space="preserve"> HYPERLINK "</w:instrText>
      </w:r>
      <w:r w:rsidR="00244F3C" w:rsidRPr="00B47640">
        <w:instrText>http://www.fas.org/irp/congress/2011_hr/030911sales.pdf</w:instrText>
      </w:r>
      <w:r w:rsidR="00244F3C">
        <w:instrText xml:space="preserve">" </w:instrText>
      </w:r>
      <w:r w:rsidR="00244F3C">
        <w:fldChar w:fldCharType="separate"/>
      </w:r>
      <w:r w:rsidR="00244F3C" w:rsidRPr="00A56061">
        <w:rPr>
          <w:rStyle w:val="Hyperlink"/>
        </w:rPr>
        <w:t>http://www.fas.org/irp/congress/2011_hr/030911sales.pdf</w:t>
      </w:r>
      <w:r w:rsidR="00244F3C">
        <w:fldChar w:fldCharType="end"/>
      </w:r>
      <w:r w:rsidR="00244F3C">
        <w:t xml:space="preserve"> </w:t>
      </w:r>
    </w:p>
    <w:p w14:paraId="32E864B2" w14:textId="77777777" w:rsidR="002840A5" w:rsidRDefault="002840A5" w:rsidP="002840A5">
      <w:pPr>
        <w:pStyle w:val="Evidence"/>
        <w:rPr>
          <w:szCs w:val="30"/>
        </w:rPr>
      </w:pPr>
      <w:r w:rsidRPr="00677A44">
        <w:rPr>
          <w:szCs w:val="30"/>
        </w:rPr>
        <w:t xml:space="preserve">The terrorist threat isn’t going away anytime soon. Al Qaeda and its followers are still mortal dangers to Americans at home and abroad, and Congress should make sure that our counterterrorism agents have the tools they need to detect and disrupt our enemies’ bloody plots. This is no time to dismantle the USA PATRIOT Act. The three provisions that are on the verge of expiring – roving wiretaps, business records, and lone wolf – have been on the statute books for years without compromising vital privacy interests or civil liberties. Not only does the PATRIOT Act let counterterrorism agents use some of the same investigative techniques that regular cops and prosecutors have had in their arsenal for years. The act’s safeguards and protections are at least as robust as – and in some cases are even more robust than – their law enforcement counterparts. Congress should promptly reauthorize these authorities before they sunset later this year. Al Qaeda hasn’t given up. We can’t afford to either. </w:t>
      </w:r>
    </w:p>
    <w:p w14:paraId="186BBD49" w14:textId="77777777" w:rsidR="002840A5" w:rsidRDefault="002840A5" w:rsidP="002840A5">
      <w:pPr>
        <w:pStyle w:val="Contention2"/>
      </w:pPr>
      <w:bookmarkStart w:id="31" w:name="_Toc279142333"/>
      <w:r>
        <w:lastRenderedPageBreak/>
        <w:t>Link:  Requiring court orders will divert critical law enforcement resources</w:t>
      </w:r>
      <w:bookmarkEnd w:id="31"/>
    </w:p>
    <w:p w14:paraId="78494AF8" w14:textId="4B08A891" w:rsidR="002840A5" w:rsidRPr="00784493" w:rsidRDefault="002840A5" w:rsidP="002840A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6" w:history="1">
        <w:r w:rsidR="00244F3C" w:rsidRPr="00A56061">
          <w:rPr>
            <w:rStyle w:val="Hyperlink"/>
          </w:rPr>
          <w:t>http://judiciary.house.gov/_files/hearings/113th/03192013_2/Littlehale%2003192013.pdf</w:t>
        </w:r>
      </w:hyperlink>
      <w:r w:rsidR="00244F3C">
        <w:t xml:space="preserve"> </w:t>
      </w:r>
    </w:p>
    <w:p w14:paraId="2ECE07CD" w14:textId="77777777" w:rsidR="002840A5" w:rsidRPr="00D37E6D" w:rsidRDefault="002840A5" w:rsidP="002840A5">
      <w:pPr>
        <w:pStyle w:val="Evidence"/>
        <w:rPr>
          <w:shd w:val="clear" w:color="auto" w:fill="FFFFFF"/>
        </w:rPr>
      </w:pPr>
      <w:r w:rsidRPr="00D37E6D">
        <w:t>Notification provisions may put a greater burden on law enforcement than an increased proof requirement. Several ECPA reform proposals have borrowed language from wiretap law requiring notification of customers of legal demands, or securing a series of separate court orders delaying notification. These provisions risk diverting critical law enforcement resources from investigations simply to comply with burdensome notification provisions or delay orders that do not offer any additional constitutional protections, and may actually threaten ongoing investigations. We urge the committee to carefully balance the need for notification and reporting against the resources it will drain away from a range of investigative priorities.</w:t>
      </w:r>
    </w:p>
    <w:p w14:paraId="310E191E" w14:textId="77777777" w:rsidR="002840A5" w:rsidRPr="00917415" w:rsidRDefault="002840A5" w:rsidP="002840A5">
      <w:pPr>
        <w:pStyle w:val="Contention2"/>
      </w:pPr>
      <w:bookmarkStart w:id="32" w:name="_Toc279142334"/>
      <w:r w:rsidRPr="00917415">
        <w:t>Link:  Delays in access to stored content will slow down investigations and reduce our ability to fight crime</w:t>
      </w:r>
      <w:bookmarkEnd w:id="32"/>
    </w:p>
    <w:p w14:paraId="04E65EFB" w14:textId="58F42556" w:rsidR="002840A5" w:rsidRPr="00784493" w:rsidRDefault="002840A5" w:rsidP="002840A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7" w:history="1">
        <w:r w:rsidR="00244F3C" w:rsidRPr="00A56061">
          <w:rPr>
            <w:rStyle w:val="Hyperlink"/>
          </w:rPr>
          <w:t>http://judiciary.house.gov/_files/hearings/113th/03192013_2/Littlehale%2003192013.pdf</w:t>
        </w:r>
      </w:hyperlink>
      <w:r w:rsidR="00244F3C">
        <w:t xml:space="preserve"> </w:t>
      </w:r>
    </w:p>
    <w:p w14:paraId="14D676D0" w14:textId="77777777" w:rsidR="002840A5" w:rsidRDefault="002840A5" w:rsidP="002840A5">
      <w:pPr>
        <w:pStyle w:val="Evidence"/>
      </w:pPr>
      <w:r>
        <w:t>If governing law is changed to require probable cause for any type of location information, there will be a negative impact on the time required for law enforcement to conduct certain types of investigations. Some of this impact can be balanced by changes in the law with respect to records retention and quality of service in response to law enforcement legal demands. Any effort to modify the standard of proof for access to stored content that does not address the concerns outlined above will lengthen law enforcement’s investigative timeline, and therefore reduce our effectiveness and negatively impact our ability to bring criminals to justice.</w:t>
      </w:r>
    </w:p>
    <w:p w14:paraId="0298C2D0" w14:textId="77777777" w:rsidR="002840A5" w:rsidRPr="00784493" w:rsidRDefault="002840A5" w:rsidP="002840A5">
      <w:pPr>
        <w:pStyle w:val="Contention2"/>
      </w:pPr>
      <w:bookmarkStart w:id="33" w:name="_Toc279142335"/>
      <w:r>
        <w:t>Brink: Quick access to electronic communication is key to protecting the public from crime</w:t>
      </w:r>
      <w:bookmarkEnd w:id="33"/>
    </w:p>
    <w:p w14:paraId="39765059" w14:textId="79DF8607" w:rsidR="002840A5" w:rsidRPr="00784493" w:rsidRDefault="002840A5" w:rsidP="002840A5">
      <w:pPr>
        <w:pStyle w:val="Citation3"/>
      </w:pPr>
      <w:r w:rsidRPr="00784493">
        <w:rPr>
          <w:sz w:val="24"/>
          <w:szCs w:val="24"/>
        </w:rPr>
        <w:t xml:space="preserve"> </w:t>
      </w: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8" w:history="1">
        <w:r w:rsidR="00244F3C" w:rsidRPr="00A56061">
          <w:rPr>
            <w:rStyle w:val="Hyperlink"/>
          </w:rPr>
          <w:t>http://judiciary.house.gov/_files/hearings/113th/03192013_2/Littlehale%2003192013.pdf</w:t>
        </w:r>
      </w:hyperlink>
      <w:r w:rsidR="00244F3C">
        <w:t xml:space="preserve"> </w:t>
      </w:r>
    </w:p>
    <w:p w14:paraId="0AF53550" w14:textId="77777777" w:rsidR="002840A5" w:rsidRDefault="002840A5" w:rsidP="002840A5">
      <w:pPr>
        <w:pStyle w:val="Evidence"/>
      </w:pPr>
      <w:r w:rsidRPr="00784493">
        <w:t>The crime scene of the 21st century is filled with electronic records and other digital evidence. The contents of this digital crime scene, including electronic communications records, often hold the key to solving the case. They also hold the key to ruling out suspects and exonerating the innocent. Law enforcement’s ability to access those records quickly and reliably under the law is fundamental to our ability to carry out our sworn duties to protect the public and ensure justice for victims of crime.</w:t>
      </w:r>
    </w:p>
    <w:p w14:paraId="7C0AF368" w14:textId="77777777" w:rsidR="002840A5" w:rsidRDefault="002840A5" w:rsidP="002840A5">
      <w:pPr>
        <w:pStyle w:val="Contention2"/>
        <w:rPr>
          <w:shd w:val="clear" w:color="auto" w:fill="FFFFFF"/>
        </w:rPr>
      </w:pPr>
      <w:bookmarkStart w:id="34" w:name="_Toc279142336"/>
      <w:r>
        <w:rPr>
          <w:shd w:val="clear" w:color="auto" w:fill="FFFFFF"/>
        </w:rPr>
        <w:lastRenderedPageBreak/>
        <w:t>Link &amp; Brink: Email content is key to investigating lots of serious crimes</w:t>
      </w:r>
      <w:bookmarkEnd w:id="34"/>
    </w:p>
    <w:p w14:paraId="4B28E992" w14:textId="3EF043D9" w:rsidR="002840A5" w:rsidRPr="00A83602" w:rsidRDefault="002840A5" w:rsidP="002840A5">
      <w:pPr>
        <w:pStyle w:val="Citation3"/>
      </w:pPr>
      <w:proofErr w:type="spellStart"/>
      <w:r w:rsidRPr="00A83602">
        <w:rPr>
          <w:u w:val="single"/>
        </w:rPr>
        <w:t>Elana</w:t>
      </w:r>
      <w:proofErr w:type="spellEnd"/>
      <w:r w:rsidRPr="00A83602">
        <w:rPr>
          <w:u w:val="single"/>
        </w:rPr>
        <w:t xml:space="preserve"> </w:t>
      </w:r>
      <w:proofErr w:type="spellStart"/>
      <w:r w:rsidRPr="00A83602">
        <w:rPr>
          <w:u w:val="single"/>
        </w:rPr>
        <w:t>Tyrangiel</w:t>
      </w:r>
      <w:proofErr w:type="spellEnd"/>
      <w:r w:rsidRPr="00A83602">
        <w:rPr>
          <w:u w:val="single"/>
        </w:rPr>
        <w:t xml:space="preserve"> 2013</w:t>
      </w:r>
      <w:r w:rsidRPr="00A83602">
        <w:t>. (Acting Assistant Attorney General, Office of Legal Policy</w:t>
      </w:r>
      <w:proofErr w:type="gramStart"/>
      <w:r w:rsidRPr="00A83602">
        <w:t>,  US</w:t>
      </w:r>
      <w:proofErr w:type="gramEnd"/>
      <w:r w:rsidRPr="00A83602">
        <w:t xml:space="preserve"> </w:t>
      </w:r>
      <w:proofErr w:type="spellStart"/>
      <w:r w:rsidRPr="00A83602">
        <w:t>Dept</w:t>
      </w:r>
      <w:proofErr w:type="spellEnd"/>
      <w:r w:rsidRPr="00A83602">
        <w:t xml:space="preserve"> of Justice</w:t>
      </w:r>
      <w:r>
        <w:t>; she’s involved in prosecuting federal crime</w:t>
      </w:r>
      <w:r w:rsidRPr="00A83602">
        <w:t xml:space="preserve">) statement to the COMMITTEE ON THE JUDICIARY SUBCOMMITTEE ON CRIME, TERRORISM, HOMELAND SECURITY, AND INVESTIGATIONS UNITED STATES HOUSE OF REPRESENTATIVES 19 Mar 2013 </w:t>
      </w:r>
      <w:hyperlink r:id="rId39" w:history="1">
        <w:r w:rsidR="00244F3C" w:rsidRPr="00A56061">
          <w:rPr>
            <w:rStyle w:val="Hyperlink"/>
          </w:rPr>
          <w:t>http://judiciary.house.gov/_files/hearings/113th/03192013_2/Tyrangiel%2003192013.pdf</w:t>
        </w:r>
      </w:hyperlink>
      <w:r w:rsidR="00244F3C">
        <w:t xml:space="preserve"> </w:t>
      </w:r>
    </w:p>
    <w:p w14:paraId="7B956B90" w14:textId="77777777" w:rsidR="002840A5" w:rsidRDefault="002840A5" w:rsidP="002840A5">
      <w:pPr>
        <w:pStyle w:val="Evidence"/>
      </w:pPr>
      <w:r w:rsidRPr="000A4C5C">
        <w:t xml:space="preserve">And, indeed, the </w:t>
      </w:r>
      <w:r w:rsidRPr="000A4C5C">
        <w:rPr>
          <w:u w:val="single"/>
        </w:rPr>
        <w:t>SCA is critical to all sorts of criminal investigations into murder, kidnapping, organized crime, sexual abuse or exploitation of children, identity theft, and more. As technology has advanced, appropriate governmental access to certain electronic communications, including both content and non-content information, has become even more important to upholding our law enforcement and national security responsibilities</w:t>
      </w:r>
      <w:r w:rsidRPr="000A4C5C">
        <w:t xml:space="preserve">.  Even within these criminal investigations, it is important to understand the kind of information that the government obtains under the SCA as well as how that information is used. Under the SCA, the government may compel service providers to produce both content and non-content information related to electronic communications. </w:t>
      </w:r>
      <w:r w:rsidRPr="000A4C5C">
        <w:rPr>
          <w:u w:val="single"/>
        </w:rPr>
        <w:t>It is clear that the contents of a communication—for example, a text message related to a drug deal, an email used in a fraud scheme, or an image of child pornography—can be important evidence in a criminal case</w:t>
      </w:r>
      <w:r w:rsidRPr="000A4C5C">
        <w:t>.</w:t>
      </w:r>
    </w:p>
    <w:p w14:paraId="2E4C783D" w14:textId="77777777" w:rsidR="002840A5" w:rsidRPr="00917415" w:rsidRDefault="002840A5" w:rsidP="002840A5">
      <w:pPr>
        <w:pStyle w:val="Contention2"/>
      </w:pPr>
      <w:bookmarkStart w:id="35" w:name="_Toc279142337"/>
      <w:r w:rsidRPr="00917415">
        <w:t>Impact:  Security tradeoff.  Abducted children, escaping fugitives, terrorist attacks…</w:t>
      </w:r>
      <w:bookmarkEnd w:id="35"/>
    </w:p>
    <w:p w14:paraId="46AD78A1" w14:textId="753152E3" w:rsidR="002840A5" w:rsidRPr="00784493" w:rsidRDefault="002840A5" w:rsidP="002840A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40" w:history="1">
        <w:r w:rsidR="00244F3C" w:rsidRPr="00A56061">
          <w:rPr>
            <w:rStyle w:val="Hyperlink"/>
          </w:rPr>
          <w:t>http://judiciary.house.gov/_files/hearings/113th/03192013_2/Littlehale%2003192013.pdf</w:t>
        </w:r>
      </w:hyperlink>
      <w:r w:rsidR="00244F3C">
        <w:t xml:space="preserve"> </w:t>
      </w:r>
    </w:p>
    <w:p w14:paraId="1073690D" w14:textId="0045B439" w:rsidR="007254F4" w:rsidRPr="002840A5" w:rsidRDefault="002840A5" w:rsidP="00244F3C">
      <w:pPr>
        <w:pStyle w:val="Evidence"/>
      </w:pPr>
      <w:r w:rsidRPr="00917415">
        <w:t>A robust debate about balancing personal privacy and security is beneficial to all Americans, but the people and their representatives must be able to make an educated judgment about what they are giving up and what they are getting</w:t>
      </w:r>
      <w:r w:rsidRPr="009E3FAE">
        <w:t xml:space="preserve">. There is no question that a growing number of personal details about all Americans are moving around the digital world, and some of those details make their way into digital crime scenes. </w:t>
      </w:r>
      <w:r w:rsidRPr="00917415">
        <w:rPr>
          <w:u w:val="single"/>
        </w:rPr>
        <w:t>Just as there is no question that people have an interest in preserving the privacy of that information, there can be no question that some of that information holds the keys to finding an abducted child, apprehending a dangerous fugitive, or preventing a terrorist attack.</w:t>
      </w:r>
      <w:r w:rsidRPr="009E3FAE">
        <w:t xml:space="preserve"> </w:t>
      </w:r>
      <w:r w:rsidRPr="00917415">
        <w:rPr>
          <w:u w:val="single"/>
        </w:rPr>
        <w:t>Whenever we move forward with the privacy/safety debate, we should be mindful that any restriction of law enforcement’s access to that information, whether by redefining legal barriers or allowing service providers to erect new technological barriers, may well come at a price, and some of that price could be paid by our most vulnerable citizens. We should be sure we are willing to require them to pay it</w:t>
      </w:r>
      <w:r w:rsidRPr="009E3FAE">
        <w:t>.</w:t>
      </w:r>
      <w:bookmarkStart w:id="36" w:name="_GoBack"/>
      <w:bookmarkEnd w:id="36"/>
    </w:p>
    <w:sectPr w:rsidR="007254F4" w:rsidRPr="002840A5" w:rsidSect="00E951F4">
      <w:head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365F8" w14:textId="35EBFCE5" w:rsidR="00E951F4" w:rsidRDefault="00E951F4" w:rsidP="00E951F4">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244F3C">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244F3C">
      <w:rPr>
        <w:noProof/>
        <w:sz w:val="24"/>
        <w:szCs w:val="24"/>
      </w:rPr>
      <w:t>11</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ABD7D" w14:textId="742CCCB6" w:rsidR="00E951F4" w:rsidRPr="00E951F4" w:rsidRDefault="00E951F4" w:rsidP="00E951F4">
    <w:pPr>
      <w:jc w:val="center"/>
      <w:rPr>
        <w:rFonts w:ascii="Times New Roman" w:hAnsi="Times New Roman"/>
        <w:b/>
        <w:bCs/>
        <w:smallCaps/>
      </w:rPr>
    </w:pPr>
    <w:r w:rsidRPr="002840A5">
      <w:rPr>
        <w:rFonts w:ascii="Times New Roman" w:hAnsi="Times New Roman"/>
        <w:b/>
        <w:bCs/>
        <w:smallCaps/>
      </w:rPr>
      <w:t>NEGATIVE BRIEF: National Security Letters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CC4EF" w14:textId="53A40E09" w:rsidR="002F2ED7" w:rsidRPr="002840A5" w:rsidRDefault="002840A5" w:rsidP="002840A5">
    <w:pPr>
      <w:jc w:val="center"/>
      <w:rPr>
        <w:rFonts w:ascii="Times New Roman" w:hAnsi="Times New Roman"/>
        <w:b/>
        <w:bCs/>
        <w:smallCaps/>
      </w:rPr>
    </w:pPr>
    <w:r w:rsidRPr="002840A5">
      <w:rPr>
        <w:rFonts w:ascii="Times New Roman" w:hAnsi="Times New Roman"/>
        <w:b/>
        <w:bCs/>
        <w:smallCaps/>
      </w:rPr>
      <w:t>NEGATIVE BRIEF: National Security Letters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44FE3"/>
    <w:multiLevelType w:val="multilevel"/>
    <w:tmpl w:val="1C427B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44F3C"/>
    <w:rsid w:val="002558C7"/>
    <w:rsid w:val="002840A5"/>
    <w:rsid w:val="00285587"/>
    <w:rsid w:val="002C1829"/>
    <w:rsid w:val="002D1F9C"/>
    <w:rsid w:val="002F2ED7"/>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951F4"/>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png"/><Relationship Id="rId21" Type="http://schemas.openxmlformats.org/officeDocument/2006/relationships/hyperlink" Target="http://www.justice.gov/oig/reports/2014/s1408.pdf" TargetMode="External"/><Relationship Id="rId22" Type="http://schemas.openxmlformats.org/officeDocument/2006/relationships/image" Target="media/image5.png"/><Relationship Id="rId23" Type="http://schemas.openxmlformats.org/officeDocument/2006/relationships/hyperlink" Target="http://www.americanbar.org/groups/public_services/law_national_security/patriot_debates2/the_book_online/ch5/ch5_ess2.html" TargetMode="External"/><Relationship Id="rId24" Type="http://schemas.openxmlformats.org/officeDocument/2006/relationships/hyperlink" Target="http://www.americanbar.org/groups/public_services/law_national_security/patriot_debates2/the_book_online/ch5/ch5_ess2.html" TargetMode="External"/><Relationship Id="rId25" Type="http://schemas.openxmlformats.org/officeDocument/2006/relationships/hyperlink" Target="http://www.americanbar.org/groups/public_services/law_national_security/patriot_debates2/the_book_online/ch5/ch5_ess2.html" TargetMode="External"/><Relationship Id="rId26" Type="http://schemas.openxmlformats.org/officeDocument/2006/relationships/hyperlink" Target="http://www.americanbar.org/groups/public_services/law_national_security/patriot_debates2/the_book_online/ch5/ch5_ess2.html" TargetMode="External"/><Relationship Id="rId27" Type="http://schemas.openxmlformats.org/officeDocument/2006/relationships/hyperlink" Target="http://books.google.fr/books?id=gbcJAAAAQBAJ&amp;pg=PA724&amp;lpg=PA724&amp;dq=%22exclusionary+rule%22+%2B+%22electronic+communications+privacy+act%22&amp;source=bl&amp;ots=ooRJnXJWf7&amp;sig=rTZM6zttYtt_mW58deQHND3u-Ek&amp;hl=en&amp;sa=X&amp;ei=uC1dVO_uJ8TiO4PPgaAC&amp;redir_esc=y#v=onepage&amp;q=%22exclusionary%20rule%22%20%2B%20%22electronic%20communications%20privacy%20act%22&amp;f=false" TargetMode="External"/><Relationship Id="rId28" Type="http://schemas.openxmlformats.org/officeDocument/2006/relationships/image" Target="media/image6.png"/><Relationship Id="rId29" Type="http://schemas.openxmlformats.org/officeDocument/2006/relationships/hyperlink" Target="http://www.americanbar.org/groups/public_services/law_national_security/patriot_debates2/the_book_online/ch5/ch5_ess2.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eff.org/sites/default/files/filenode/motiontocompel-reply.pdf" TargetMode="External"/><Relationship Id="rId31" Type="http://schemas.openxmlformats.org/officeDocument/2006/relationships/image" Target="media/image7.png"/><Relationship Id="rId32" Type="http://schemas.openxmlformats.org/officeDocument/2006/relationships/hyperlink" Target="http://cdn.ca9.uscourts.gov/datastore/general/2014/02/04/13-15957and13-16731_gov_opening_brief.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americanbar.org/groups/public_services/law_national_security/patriot_debates2/the_book_online/ch5/ch5_ess2.html" TargetMode="External"/><Relationship Id="rId34" Type="http://schemas.openxmlformats.org/officeDocument/2006/relationships/hyperlink" Target="http://cdn.ca9.uscourts.gov/datastore/general/2014/02/04/13-15957and13-16731_gov_opening_brief.pdf" TargetMode="External"/><Relationship Id="rId35" Type="http://schemas.openxmlformats.org/officeDocument/2006/relationships/hyperlink" Target="http://www.americanbar.org/groups/public_services/law_national_security/patriot_debates2/the_book_online/ch5/ch5_ess2.html" TargetMode="External"/><Relationship Id="rId36" Type="http://schemas.openxmlformats.org/officeDocument/2006/relationships/hyperlink" Target="http://judiciary.house.gov/_files/hearings/113th/03192013_2/Littlehale%2003192013.pdf" TargetMode="External"/><Relationship Id="rId10" Type="http://schemas.openxmlformats.org/officeDocument/2006/relationships/hyperlink" Target="http://www.newsmax.com/LannyDavis/Government-Terror-Privacy-NSA/2013/06/07/id/508683#ixzz34v8QPlzt" TargetMode="External"/><Relationship Id="rId11" Type="http://schemas.openxmlformats.org/officeDocument/2006/relationships/hyperlink" Target="http://www.americanbar.org/groups/public_services/law_national_security/patriot_debates2/the_book_online/ch5/ch5_ess2.html" TargetMode="External"/><Relationship Id="rId12" Type="http://schemas.openxmlformats.org/officeDocument/2006/relationships/hyperlink" Target="http://www.americanbar.org/groups/public_services/law_national_security/patriot_debates2/the_book_online/ch5/ch5_ess2.html" TargetMode="External"/><Relationship Id="rId13" Type="http://schemas.openxmlformats.org/officeDocument/2006/relationships/hyperlink" Target="http://fas.org/sgp/crs/intel/RS22406.pdf" TargetMode="External"/><Relationship Id="rId14" Type="http://schemas.openxmlformats.org/officeDocument/2006/relationships/image" Target="media/image1.png"/><Relationship Id="rId15" Type="http://schemas.openxmlformats.org/officeDocument/2006/relationships/hyperlink" Target="http://www.justice.gov/oig/reports/2014/s1408.pdf" TargetMode="External"/><Relationship Id="rId16" Type="http://schemas.openxmlformats.org/officeDocument/2006/relationships/image" Target="media/image2.png"/><Relationship Id="rId17" Type="http://schemas.openxmlformats.org/officeDocument/2006/relationships/hyperlink" Target="http://www.justice.gov/oig/reports/2014/s1408.pdf" TargetMode="External"/><Relationship Id="rId18" Type="http://schemas.openxmlformats.org/officeDocument/2006/relationships/image" Target="media/image3.png"/><Relationship Id="rId19" Type="http://schemas.openxmlformats.org/officeDocument/2006/relationships/hyperlink" Target="http://www.justice.gov/oig/reports/2014/s1408.pdf" TargetMode="External"/><Relationship Id="rId37" Type="http://schemas.openxmlformats.org/officeDocument/2006/relationships/hyperlink" Target="http://judiciary.house.gov/_files/hearings/113th/03192013_2/Littlehale%2003192013.pdf" TargetMode="External"/><Relationship Id="rId38" Type="http://schemas.openxmlformats.org/officeDocument/2006/relationships/hyperlink" Target="http://judiciary.house.gov/_files/hearings/113th/03192013_2/Littlehale%2003192013.pdf" TargetMode="External"/><Relationship Id="rId39" Type="http://schemas.openxmlformats.org/officeDocument/2006/relationships/hyperlink" Target="http://judiciary.house.gov/_files/hearings/113th/03192013_2/Tyrangiel%2003192013.pdf" TargetMode="External"/><Relationship Id="rId40" Type="http://schemas.openxmlformats.org/officeDocument/2006/relationships/hyperlink" Target="http://judiciary.house.gov/_files/hearings/113th/03192013_2/Littlehale%2003192013.pdf" TargetMode="External"/><Relationship Id="rId41" Type="http://schemas.openxmlformats.org/officeDocument/2006/relationships/header" Target="header2.xml"/><Relationship Id="rId42" Type="http://schemas.openxmlformats.org/officeDocument/2006/relationships/fontTable" Target="fontTable.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5218</Words>
  <Characters>29746</Characters>
  <Application>Microsoft Macintosh Word</Application>
  <DocSecurity>0</DocSecurity>
  <Lines>247</Lines>
  <Paragraphs>69</Paragraphs>
  <ScaleCrop>false</ScaleCrop>
  <Company>Jeub Family</Company>
  <LinksUpToDate>false</LinksUpToDate>
  <CharactersWithSpaces>34895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 Jeub</cp:lastModifiedBy>
  <cp:revision>2</cp:revision>
  <dcterms:created xsi:type="dcterms:W3CDTF">2014-12-02T19:41:00Z</dcterms:created>
  <dcterms:modified xsi:type="dcterms:W3CDTF">2014-12-29T22:03:00Z</dcterms:modified>
</cp:coreProperties>
</file>